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703F" w:rsidRDefault="00BD703F" w:rsidP="00BD703F">
      <w:pPr>
        <w:pStyle w:val="Ttulo2"/>
        <w:jc w:val="center"/>
        <w:rPr>
          <w:rFonts w:ascii="Montserrat" w:hAnsi="Montserrat"/>
          <w:b/>
          <w:color w:val="B38E5D"/>
          <w:sz w:val="22"/>
          <w:lang w:val="es-MX"/>
        </w:rPr>
      </w:pPr>
      <w:bookmarkStart w:id="0" w:name="_Toc22284158"/>
      <w:bookmarkStart w:id="1" w:name="_Toc34152236"/>
      <w:bookmarkStart w:id="2" w:name="_Toc34154295"/>
      <w:bookmarkStart w:id="3" w:name="_Toc36198152"/>
      <w:bookmarkStart w:id="4" w:name="_Toc37759607"/>
      <w:r w:rsidRPr="008A4A83">
        <w:rPr>
          <w:rFonts w:ascii="Montserrat" w:hAnsi="Montserrat"/>
          <w:b/>
          <w:color w:val="B38E5D"/>
          <w:sz w:val="22"/>
          <w:lang w:val="es-MX"/>
        </w:rPr>
        <w:t>MECANISMO DE ATENCIÓN DE QUEJAS Y RECLAMOS</w:t>
      </w:r>
      <w:bookmarkEnd w:id="0"/>
      <w:r w:rsidRPr="008A4A83">
        <w:rPr>
          <w:rFonts w:ascii="Montserrat" w:hAnsi="Montserrat"/>
          <w:b/>
          <w:color w:val="B38E5D"/>
          <w:sz w:val="22"/>
          <w:lang w:val="es-MX"/>
        </w:rPr>
        <w:t xml:space="preserve"> PARA PARTES INTERESADAS</w:t>
      </w:r>
      <w:bookmarkEnd w:id="1"/>
      <w:bookmarkEnd w:id="2"/>
      <w:bookmarkEnd w:id="3"/>
      <w:bookmarkEnd w:id="4"/>
      <w:r>
        <w:rPr>
          <w:rFonts w:ascii="Montserrat" w:hAnsi="Montserrat"/>
          <w:b/>
          <w:color w:val="B38E5D"/>
          <w:sz w:val="22"/>
          <w:lang w:val="es-MX"/>
        </w:rPr>
        <w:t xml:space="preserve"> (MAQR)</w:t>
      </w:r>
    </w:p>
    <w:p w:rsidR="00BD703F" w:rsidRDefault="00BD703F" w:rsidP="00BD703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lang w:val="es-MX"/>
        </w:rPr>
      </w:pPr>
    </w:p>
    <w:p w:rsidR="00BD703F" w:rsidRDefault="00BD703F" w:rsidP="00BD703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Montserrat" w:eastAsia="MS Mincho" w:hAnsi="Montserrat" w:cs="Arial"/>
          <w:sz w:val="22"/>
          <w:szCs w:val="22"/>
          <w:bdr w:val="none" w:sz="0" w:space="0" w:color="auto"/>
          <w:lang w:val="es-ES" w:eastAsia="es-ES"/>
        </w:rPr>
      </w:pPr>
      <w:r w:rsidRPr="00374CBE">
        <w:rPr>
          <w:rFonts w:ascii="Montserrat" w:eastAsia="MS Mincho" w:hAnsi="Montserrat" w:cs="Arial"/>
          <w:sz w:val="22"/>
          <w:szCs w:val="22"/>
          <w:bdr w:val="none" w:sz="0" w:space="0" w:color="auto"/>
          <w:lang w:val="es-ES" w:eastAsia="es-ES"/>
        </w:rPr>
        <w:t>Para el caso de México, los mecanismos formales para atender solicitudes de informac</w:t>
      </w:r>
      <w:r>
        <w:rPr>
          <w:rFonts w:ascii="Montserrat" w:eastAsia="MS Mincho" w:hAnsi="Montserrat" w:cs="Arial"/>
          <w:sz w:val="22"/>
          <w:szCs w:val="22"/>
          <w:bdr w:val="none" w:sz="0" w:space="0" w:color="auto"/>
          <w:lang w:val="es-ES" w:eastAsia="es-ES"/>
        </w:rPr>
        <w:t xml:space="preserve">ión pública </w:t>
      </w:r>
      <w:r w:rsidRPr="00374CBE">
        <w:rPr>
          <w:rFonts w:ascii="Montserrat" w:eastAsia="MS Mincho" w:hAnsi="Montserrat" w:cs="Arial"/>
          <w:sz w:val="22"/>
          <w:szCs w:val="22"/>
          <w:bdr w:val="none" w:sz="0" w:space="0" w:color="auto"/>
          <w:lang w:val="es-ES" w:eastAsia="es-ES"/>
        </w:rPr>
        <w:t xml:space="preserve">son los existentes </w:t>
      </w:r>
      <w:r w:rsidRPr="00374CBE">
        <w:rPr>
          <w:rFonts w:ascii="Montserrat" w:eastAsia="MS Mincho" w:hAnsi="Montserrat" w:cs="Arial"/>
          <w:sz w:val="22"/>
          <w:szCs w:val="22"/>
          <w:bdr w:val="none" w:sz="0" w:space="0" w:color="auto"/>
          <w:lang w:val="es-ES" w:eastAsia="es-ES"/>
        </w:rPr>
        <w:t>de acuerdo con</w:t>
      </w:r>
      <w:r w:rsidRPr="00374CBE">
        <w:rPr>
          <w:rFonts w:ascii="Montserrat" w:eastAsia="MS Mincho" w:hAnsi="Montserrat" w:cs="Arial"/>
          <w:sz w:val="22"/>
          <w:szCs w:val="22"/>
          <w:bdr w:val="none" w:sz="0" w:space="0" w:color="auto"/>
          <w:lang w:val="es-ES" w:eastAsia="es-ES"/>
        </w:rPr>
        <w:t xml:space="preserve"> la Ley Federal de Transparencia y Acceso a la información Pública</w:t>
      </w:r>
      <w:r w:rsidRPr="00374CBE">
        <w:rPr>
          <w:rFonts w:ascii="Montserrat" w:eastAsia="MS Mincho" w:hAnsi="Montserrat" w:cs="Arial"/>
          <w:sz w:val="22"/>
          <w:szCs w:val="22"/>
          <w:bdr w:val="none" w:sz="0" w:space="0" w:color="auto"/>
          <w:vertAlign w:val="superscript"/>
          <w:lang w:val="es-ES" w:eastAsia="es-ES"/>
        </w:rPr>
        <w:footnoteReference w:id="1"/>
      </w:r>
      <w:r w:rsidRPr="00374CBE">
        <w:rPr>
          <w:rFonts w:ascii="Montserrat" w:eastAsia="MS Mincho" w:hAnsi="Montserrat" w:cs="Arial"/>
          <w:sz w:val="22"/>
          <w:szCs w:val="22"/>
          <w:bdr w:val="none" w:sz="0" w:space="0" w:color="auto"/>
          <w:lang w:val="es-ES" w:eastAsia="es-ES"/>
        </w:rPr>
        <w:t xml:space="preserve"> y su Reglamento</w:t>
      </w:r>
      <w:r w:rsidRPr="00374CBE">
        <w:rPr>
          <w:rFonts w:ascii="Montserrat" w:eastAsia="MS Mincho" w:hAnsi="Montserrat" w:cs="Arial"/>
          <w:sz w:val="22"/>
          <w:szCs w:val="22"/>
          <w:bdr w:val="none" w:sz="0" w:space="0" w:color="auto"/>
          <w:vertAlign w:val="superscript"/>
          <w:lang w:val="es-ES" w:eastAsia="es-ES"/>
        </w:rPr>
        <w:footnoteReference w:id="2"/>
      </w:r>
      <w:r w:rsidRPr="00374CBE">
        <w:rPr>
          <w:rFonts w:ascii="Montserrat" w:eastAsia="MS Mincho" w:hAnsi="Montserrat" w:cs="Arial"/>
          <w:sz w:val="22"/>
          <w:szCs w:val="22"/>
          <w:bdr w:val="none" w:sz="0" w:space="0" w:color="auto"/>
          <w:lang w:val="es-ES" w:eastAsia="es-ES"/>
        </w:rPr>
        <w:t>; es decir, cada dependencia del gobierno federal cuenta con una Coordinación Administrativa. Particularmente, la SHCP cuenta con tres Coordinaciones Administrativas (Del Ramo, Egresos y Tesorería de la Federación). Dichas solicitudes pueden llegar por dos vías:</w:t>
      </w:r>
    </w:p>
    <w:p w:rsidR="00BD703F" w:rsidRPr="00374CBE" w:rsidRDefault="00BD703F" w:rsidP="00BD703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Montserrat" w:eastAsia="MS Mincho" w:hAnsi="Montserrat" w:cs="Arial"/>
          <w:sz w:val="22"/>
          <w:szCs w:val="22"/>
          <w:bdr w:val="none" w:sz="0" w:space="0" w:color="auto"/>
          <w:lang w:val="es-ES" w:eastAsia="es-ES"/>
        </w:rPr>
      </w:pPr>
    </w:p>
    <w:p w:rsidR="00BD703F" w:rsidRPr="00374CBE" w:rsidRDefault="00BD703F" w:rsidP="00BD70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Montserrat" w:eastAsia="MS Mincho" w:hAnsi="Montserrat" w:cs="Arial"/>
          <w:sz w:val="22"/>
          <w:szCs w:val="22"/>
          <w:bdr w:val="none" w:sz="0" w:space="0" w:color="auto"/>
          <w:lang w:val="es-ES" w:eastAsia="es-ES"/>
        </w:rPr>
      </w:pPr>
      <w:r w:rsidRPr="00374CBE">
        <w:rPr>
          <w:rFonts w:ascii="Montserrat" w:eastAsia="MS Mincho" w:hAnsi="Montserrat" w:cs="Arial"/>
          <w:sz w:val="22"/>
          <w:szCs w:val="22"/>
          <w:bdr w:val="none" w:sz="0" w:space="0" w:color="auto"/>
          <w:lang w:val="es-ES" w:eastAsia="es-ES"/>
        </w:rPr>
        <w:t xml:space="preserve">Solicitud de información pública mediante el </w:t>
      </w:r>
      <w:r w:rsidRPr="00374CBE">
        <w:rPr>
          <w:rFonts w:ascii="Montserrat" w:eastAsia="MS Mincho" w:hAnsi="Montserrat" w:cs="Arial"/>
          <w:bCs/>
          <w:color w:val="333333"/>
          <w:sz w:val="22"/>
          <w:szCs w:val="22"/>
          <w:bdr w:val="none" w:sz="0" w:space="0" w:color="auto"/>
          <w:shd w:val="clear" w:color="auto" w:fill="FFFFFF"/>
          <w:lang w:val="es-ES" w:eastAsia="es-ES"/>
        </w:rPr>
        <w:t>Instituto Nacional de Transparencia, Acceso a la Información y Protección de Datos Personales (INAI)</w:t>
      </w:r>
      <w:r w:rsidRPr="00374CBE">
        <w:rPr>
          <w:rFonts w:ascii="Montserrat" w:eastAsia="MS Mincho" w:hAnsi="Montserrat" w:cs="Arial"/>
          <w:sz w:val="22"/>
          <w:szCs w:val="22"/>
          <w:bdr w:val="none" w:sz="0" w:space="0" w:color="auto"/>
          <w:vertAlign w:val="superscript"/>
          <w:lang w:val="es-ES" w:eastAsia="es-ES"/>
        </w:rPr>
        <w:footnoteReference w:id="3"/>
      </w:r>
    </w:p>
    <w:p w:rsidR="00BD703F" w:rsidRPr="00374CBE" w:rsidRDefault="00BD703F" w:rsidP="00BD70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Montserrat" w:eastAsia="MS Mincho" w:hAnsi="Montserrat" w:cs="Arial"/>
          <w:sz w:val="22"/>
          <w:szCs w:val="22"/>
          <w:bdr w:val="none" w:sz="0" w:space="0" w:color="auto"/>
          <w:lang w:val="es-ES" w:eastAsia="es-ES"/>
        </w:rPr>
      </w:pPr>
      <w:r w:rsidRPr="00374CBE">
        <w:rPr>
          <w:rFonts w:ascii="Montserrat" w:eastAsia="MS Mincho" w:hAnsi="Montserrat" w:cs="Arial"/>
          <w:sz w:val="22"/>
          <w:szCs w:val="22"/>
          <w:bdr w:val="none" w:sz="0" w:space="0" w:color="auto"/>
          <w:lang w:val="es-ES" w:eastAsia="es-ES"/>
        </w:rPr>
        <w:t>Requerimiento a través de Atención Ciudadana de Presidencia</w:t>
      </w:r>
      <w:r w:rsidRPr="00374CBE">
        <w:rPr>
          <w:rFonts w:ascii="Montserrat" w:eastAsia="MS Mincho" w:hAnsi="Montserrat" w:cs="Arial"/>
          <w:sz w:val="22"/>
          <w:szCs w:val="22"/>
          <w:bdr w:val="none" w:sz="0" w:space="0" w:color="auto"/>
          <w:vertAlign w:val="superscript"/>
          <w:lang w:val="es-ES" w:eastAsia="es-ES"/>
        </w:rPr>
        <w:footnoteReference w:id="4"/>
      </w:r>
    </w:p>
    <w:p w:rsidR="00BD703F" w:rsidRPr="00374CBE" w:rsidRDefault="00BD703F" w:rsidP="00BD703F">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Montserrat" w:eastAsia="MS Mincho" w:hAnsi="Montserrat" w:cs="Arial"/>
          <w:sz w:val="22"/>
          <w:szCs w:val="22"/>
          <w:bdr w:val="none" w:sz="0" w:space="0" w:color="auto"/>
          <w:lang w:val="es-ES" w:eastAsia="es-ES"/>
        </w:rPr>
      </w:pPr>
      <w:r w:rsidRPr="00374CBE">
        <w:rPr>
          <w:rFonts w:ascii="Montserrat" w:eastAsia="MS Mincho" w:hAnsi="Montserrat" w:cs="Arial"/>
          <w:sz w:val="22"/>
          <w:szCs w:val="22"/>
          <w:bdr w:val="none" w:sz="0" w:space="0" w:color="auto"/>
          <w:lang w:val="es-ES" w:eastAsia="es-ES"/>
        </w:rPr>
        <w:t>El trámite puede realizarse, conforme a la Reglas para el trámite y seguimiento de las peticiones dirigidas al presidente de los Estados Unidos Mexicanos, turnadas a las dependencias y entidades para su atención</w:t>
      </w:r>
      <w:r w:rsidRPr="00374CBE">
        <w:rPr>
          <w:rFonts w:ascii="Montserrat" w:eastAsia="MS Mincho" w:hAnsi="Montserrat" w:cs="Arial"/>
          <w:sz w:val="22"/>
          <w:szCs w:val="22"/>
          <w:bdr w:val="none" w:sz="0" w:space="0" w:color="auto"/>
          <w:vertAlign w:val="superscript"/>
          <w:lang w:val="es-ES" w:eastAsia="es-ES"/>
        </w:rPr>
        <w:footnoteReference w:id="5"/>
      </w:r>
      <w:r w:rsidRPr="00374CBE">
        <w:rPr>
          <w:rFonts w:ascii="Montserrat" w:eastAsia="MS Mincho" w:hAnsi="Montserrat" w:cs="Arial"/>
          <w:sz w:val="22"/>
          <w:szCs w:val="22"/>
          <w:bdr w:val="none" w:sz="0" w:space="0" w:color="auto"/>
          <w:lang w:val="es-ES" w:eastAsia="es-ES"/>
        </w:rPr>
        <w:t>, de manera:</w:t>
      </w:r>
    </w:p>
    <w:p w:rsidR="00BD703F" w:rsidRPr="00374CBE" w:rsidRDefault="00BD703F" w:rsidP="00BD703F">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Montserrat" w:eastAsia="MS Mincho" w:hAnsi="Montserrat" w:cs="Arial"/>
          <w:sz w:val="22"/>
          <w:szCs w:val="22"/>
          <w:bdr w:val="none" w:sz="0" w:space="0" w:color="auto"/>
          <w:lang w:val="es-ES" w:eastAsia="es-ES"/>
        </w:rPr>
      </w:pPr>
      <w:r w:rsidRPr="00374CBE">
        <w:rPr>
          <w:rFonts w:ascii="Montserrat" w:eastAsia="MS Mincho" w:hAnsi="Montserrat" w:cs="Arial"/>
          <w:sz w:val="22"/>
          <w:szCs w:val="22"/>
          <w:bdr w:val="none" w:sz="0" w:space="0" w:color="auto"/>
          <w:lang w:val="es-ES" w:eastAsia="es-ES"/>
        </w:rPr>
        <w:t>Presencial: acudiendo a Palacio Nacional, edificio 10, planta baja, Centro, Cuauhtémoc, Código Postal 06060, Ciudad de México.</w:t>
      </w:r>
    </w:p>
    <w:p w:rsidR="00BD703F" w:rsidRDefault="00BD703F" w:rsidP="00BD703F">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Montserrat" w:eastAsia="MS Mincho" w:hAnsi="Montserrat" w:cs="Arial"/>
          <w:sz w:val="22"/>
          <w:szCs w:val="22"/>
          <w:bdr w:val="none" w:sz="0" w:space="0" w:color="auto"/>
          <w:lang w:val="es-ES" w:eastAsia="es-ES"/>
        </w:rPr>
      </w:pPr>
      <w:r w:rsidRPr="00374CBE">
        <w:rPr>
          <w:rFonts w:ascii="Montserrat" w:eastAsia="MS Mincho" w:hAnsi="Montserrat" w:cs="Arial"/>
          <w:sz w:val="22"/>
          <w:szCs w:val="22"/>
          <w:bdr w:val="none" w:sz="0" w:space="0" w:color="auto"/>
          <w:lang w:val="es-ES" w:eastAsia="es-ES"/>
        </w:rPr>
        <w:t>Vía telefónica: llamando al 5093 4900 Atención a la ciudadanía: 01 800 080 1127.</w:t>
      </w:r>
    </w:p>
    <w:p w:rsidR="00BD703F" w:rsidRPr="00374CBE" w:rsidRDefault="00BD703F" w:rsidP="00BD703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160"/>
        <w:rPr>
          <w:rFonts w:ascii="Montserrat" w:eastAsia="MS Mincho" w:hAnsi="Montserrat" w:cs="Arial"/>
          <w:sz w:val="22"/>
          <w:szCs w:val="22"/>
          <w:bdr w:val="none" w:sz="0" w:space="0" w:color="auto"/>
          <w:lang w:val="es-ES" w:eastAsia="es-ES"/>
        </w:rPr>
      </w:pPr>
    </w:p>
    <w:p w:rsidR="00BD703F" w:rsidRPr="00202D0F" w:rsidRDefault="00BD703F" w:rsidP="00BD703F">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440"/>
        <w:rPr>
          <w:rFonts w:ascii="Montserrat" w:eastAsia="MS Mincho" w:hAnsi="Montserrat" w:cs="Calibri"/>
          <w:b/>
          <w:color w:val="538135"/>
          <w:sz w:val="22"/>
          <w:szCs w:val="22"/>
          <w:bdr w:val="none" w:sz="0" w:space="0" w:color="auto"/>
          <w:lang w:val="es-ES" w:eastAsia="es-ES"/>
        </w:rPr>
      </w:pPr>
      <w:r w:rsidRPr="00374CBE">
        <w:rPr>
          <w:rFonts w:ascii="Montserrat" w:eastAsia="MS Mincho" w:hAnsi="Montserrat" w:cs="Arial"/>
          <w:sz w:val="22"/>
          <w:szCs w:val="22"/>
          <w:bdr w:val="none" w:sz="0" w:space="0" w:color="auto"/>
          <w:lang w:val="es-ES" w:eastAsia="es-ES"/>
        </w:rPr>
        <w:t>Una vez realizado el requerimiento, se le podrá dar atención a éste mediante el Sistema Integral de Atención Ciudadana (SIDAC)</w:t>
      </w:r>
      <w:r w:rsidRPr="00374CBE">
        <w:rPr>
          <w:rFonts w:ascii="Montserrat" w:eastAsia="MS Mincho" w:hAnsi="Montserrat" w:cs="Arial"/>
          <w:sz w:val="22"/>
          <w:szCs w:val="22"/>
          <w:bdr w:val="none" w:sz="0" w:space="0" w:color="auto"/>
          <w:vertAlign w:val="superscript"/>
          <w:lang w:val="es-ES" w:eastAsia="es-ES"/>
        </w:rPr>
        <w:footnoteReference w:id="6"/>
      </w:r>
      <w:r w:rsidRPr="00374CBE">
        <w:rPr>
          <w:rFonts w:ascii="Montserrat" w:eastAsia="MS Mincho" w:hAnsi="Montserrat" w:cs="Arial"/>
          <w:sz w:val="22"/>
          <w:szCs w:val="22"/>
          <w:bdr w:val="none" w:sz="0" w:space="0" w:color="auto"/>
          <w:lang w:val="es-ES" w:eastAsia="es-ES"/>
        </w:rPr>
        <w:t>.</w:t>
      </w:r>
    </w:p>
    <w:p w:rsidR="00BD703F" w:rsidRPr="00202D0F" w:rsidRDefault="00BD703F" w:rsidP="00BD703F">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Montserrat" w:eastAsia="MS Mincho" w:hAnsi="Montserrat" w:cs="Arial"/>
          <w:sz w:val="22"/>
          <w:szCs w:val="22"/>
          <w:bdr w:val="none" w:sz="0" w:space="0" w:color="auto"/>
          <w:lang w:val="es-ES" w:eastAsia="es-ES"/>
        </w:rPr>
      </w:pPr>
      <w:r w:rsidRPr="00202D0F">
        <w:rPr>
          <w:rFonts w:ascii="Montserrat" w:eastAsia="MS Mincho" w:hAnsi="Montserrat" w:cs="Arial"/>
          <w:sz w:val="22"/>
          <w:szCs w:val="22"/>
          <w:bdr w:val="none" w:sz="0" w:space="0" w:color="auto"/>
          <w:lang w:val="es-ES" w:eastAsia="es-ES"/>
        </w:rPr>
        <w:t xml:space="preserve">Para este </w:t>
      </w:r>
      <w:r>
        <w:rPr>
          <w:rFonts w:ascii="Montserrat" w:eastAsia="MS Mincho" w:hAnsi="Montserrat" w:cs="Arial"/>
          <w:sz w:val="22"/>
          <w:szCs w:val="22"/>
          <w:bdr w:val="none" w:sz="0" w:space="0" w:color="auto"/>
          <w:lang w:val="es-ES" w:eastAsia="es-ES"/>
        </w:rPr>
        <w:t>P</w:t>
      </w:r>
      <w:r w:rsidRPr="00202D0F">
        <w:rPr>
          <w:rFonts w:ascii="Montserrat" w:eastAsia="MS Mincho" w:hAnsi="Montserrat" w:cs="Arial"/>
          <w:sz w:val="22"/>
          <w:szCs w:val="22"/>
          <w:bdr w:val="none" w:sz="0" w:space="0" w:color="auto"/>
          <w:lang w:val="es-ES" w:eastAsia="es-ES"/>
        </w:rPr>
        <w:t>royecto se usarán los mecanismos formales anteriormente descritos en lo que se refiere a la atención de solicitudes</w:t>
      </w:r>
      <w:r>
        <w:rPr>
          <w:rFonts w:ascii="Montserrat" w:eastAsia="MS Mincho" w:hAnsi="Montserrat" w:cs="Arial"/>
          <w:sz w:val="22"/>
          <w:szCs w:val="22"/>
          <w:bdr w:val="none" w:sz="0" w:space="0" w:color="auto"/>
          <w:lang w:val="es-ES" w:eastAsia="es-ES"/>
        </w:rPr>
        <w:t xml:space="preserve"> </w:t>
      </w:r>
      <w:r w:rsidRPr="00202D0F">
        <w:rPr>
          <w:rFonts w:ascii="Montserrat" w:eastAsia="MS Mincho" w:hAnsi="Montserrat" w:cs="Arial"/>
          <w:sz w:val="22"/>
          <w:szCs w:val="22"/>
          <w:bdr w:val="none" w:sz="0" w:space="0" w:color="auto"/>
          <w:lang w:val="es-ES" w:eastAsia="es-ES"/>
        </w:rPr>
        <w:t>de información pública.</w:t>
      </w:r>
    </w:p>
    <w:p w:rsidR="00BD703F" w:rsidRDefault="00BD703F" w:rsidP="00BD703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Montserrat" w:eastAsia="MS Mincho" w:hAnsi="Montserrat" w:cs="Arial"/>
          <w:sz w:val="22"/>
          <w:szCs w:val="22"/>
          <w:bdr w:val="none" w:sz="0" w:space="0" w:color="auto"/>
          <w:lang w:val="es-ES" w:eastAsia="es-ES"/>
        </w:rPr>
      </w:pPr>
      <w:r w:rsidRPr="00374CBE">
        <w:rPr>
          <w:rFonts w:ascii="Montserrat" w:eastAsia="MS Mincho" w:hAnsi="Montserrat" w:cs="Arial"/>
          <w:sz w:val="22"/>
          <w:szCs w:val="22"/>
          <w:bdr w:val="none" w:sz="0" w:space="0" w:color="auto"/>
          <w:lang w:val="es-ES" w:eastAsia="es-ES"/>
        </w:rPr>
        <w:t>Para fines de atención aquejas o denuncias, se utilizarán los mec</w:t>
      </w:r>
      <w:r>
        <w:rPr>
          <w:rFonts w:ascii="Montserrat" w:eastAsia="MS Mincho" w:hAnsi="Montserrat" w:cs="Arial"/>
          <w:sz w:val="22"/>
          <w:szCs w:val="22"/>
          <w:bdr w:val="none" w:sz="0" w:space="0" w:color="auto"/>
          <w:lang w:val="es-ES" w:eastAsia="es-ES"/>
        </w:rPr>
        <w:t>anismos existentes del Órgano Interno de Control</w:t>
      </w:r>
      <w:r w:rsidRPr="00374CBE">
        <w:rPr>
          <w:rFonts w:ascii="Montserrat" w:eastAsia="MS Mincho" w:hAnsi="Montserrat" w:cs="Arial"/>
          <w:sz w:val="22"/>
          <w:szCs w:val="22"/>
          <w:bdr w:val="none" w:sz="0" w:space="0" w:color="auto"/>
          <w:lang w:val="es-ES" w:eastAsia="es-ES"/>
        </w:rPr>
        <w:t xml:space="preserve"> (OIC) de la SHCP. El OIC brinda atención para recibir y tramitar denuncias ciudadanas por faltas administrativas o actos de corrupción cometidas por servidores públicos federales y por personas físicas o morales privadas, vinculadas con actos de gobierno. Los canales que pone a disposición para ello son: </w:t>
      </w:r>
    </w:p>
    <w:p w:rsidR="00BD703F" w:rsidRDefault="00BD703F" w:rsidP="00BD703F">
      <w:pPr>
        <w:rPr>
          <w:lang w:val="es-MX"/>
        </w:rPr>
      </w:pPr>
    </w:p>
    <w:p w:rsidR="00BD703F" w:rsidRPr="00374CBE" w:rsidRDefault="00BD703F" w:rsidP="00BD703F">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Montserrat" w:eastAsia="MS Mincho" w:hAnsi="Montserrat" w:cs="Arial"/>
          <w:sz w:val="22"/>
          <w:szCs w:val="22"/>
          <w:bdr w:val="none" w:sz="0" w:space="0" w:color="auto"/>
          <w:lang w:val="es-ES" w:eastAsia="es-ES"/>
        </w:rPr>
      </w:pPr>
    </w:p>
    <w:p w:rsidR="00BD703F" w:rsidRPr="00374CBE" w:rsidRDefault="00BD703F" w:rsidP="00BD703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Montserrat" w:eastAsia="MS Mincho" w:hAnsi="Montserrat" w:cs="Arial"/>
          <w:sz w:val="22"/>
          <w:szCs w:val="22"/>
          <w:bdr w:val="none" w:sz="0" w:space="0" w:color="auto"/>
          <w:lang w:val="es-ES" w:eastAsia="es-ES"/>
        </w:rPr>
      </w:pPr>
      <w:r w:rsidRPr="00374CBE">
        <w:rPr>
          <w:rFonts w:ascii="Montserrat" w:eastAsia="MS Mincho" w:hAnsi="Montserrat" w:cs="Arial"/>
          <w:sz w:val="22"/>
          <w:szCs w:val="22"/>
          <w:bdr w:val="none" w:sz="0" w:space="0" w:color="auto"/>
          <w:lang w:val="es-ES" w:eastAsia="es-ES"/>
        </w:rPr>
        <w:t>A través del Sistema Integral de Denuncias Ciudadanas (SIDEC)</w:t>
      </w:r>
      <w:r w:rsidRPr="00374CBE">
        <w:rPr>
          <w:rFonts w:ascii="Montserrat" w:eastAsia="MS Mincho" w:hAnsi="Montserrat" w:cs="Arial"/>
          <w:sz w:val="22"/>
          <w:szCs w:val="22"/>
          <w:bdr w:val="none" w:sz="0" w:space="0" w:color="auto"/>
          <w:vertAlign w:val="superscript"/>
          <w:lang w:val="es-ES" w:eastAsia="es-ES"/>
        </w:rPr>
        <w:footnoteReference w:id="7"/>
      </w:r>
    </w:p>
    <w:p w:rsidR="00BD703F" w:rsidRPr="00EA0108" w:rsidRDefault="00BD703F" w:rsidP="00BD703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Montserrat" w:eastAsia="MS Mincho" w:hAnsi="Montserrat" w:cs="Arial"/>
          <w:sz w:val="22"/>
          <w:szCs w:val="22"/>
          <w:bdr w:val="none" w:sz="0" w:space="0" w:color="auto"/>
          <w:lang w:val="es-ES" w:eastAsia="es-ES"/>
        </w:rPr>
      </w:pPr>
      <w:r w:rsidRPr="00374CBE">
        <w:rPr>
          <w:rFonts w:ascii="Montserrat" w:eastAsia="MS Mincho" w:hAnsi="Montserrat" w:cs="Arial"/>
          <w:sz w:val="22"/>
          <w:szCs w:val="22"/>
          <w:bdr w:val="none" w:sz="0" w:space="0" w:color="auto"/>
          <w:lang w:val="es-ES" w:eastAsia="es-ES"/>
        </w:rPr>
        <w:t>Por correo electrónico</w:t>
      </w:r>
      <w:r>
        <w:rPr>
          <w:rFonts w:ascii="Montserrat" w:eastAsia="MS Mincho" w:hAnsi="Montserrat" w:cs="Arial"/>
          <w:sz w:val="22"/>
          <w:szCs w:val="22"/>
          <w:bdr w:val="none" w:sz="0" w:space="0" w:color="auto"/>
          <w:lang w:val="es-ES" w:eastAsia="es-ES"/>
        </w:rPr>
        <w:t xml:space="preserve"> </w:t>
      </w:r>
      <w:r w:rsidRPr="00D40154">
        <w:rPr>
          <w:rFonts w:ascii="Montserrat" w:hAnsi="Montserrat"/>
          <w:sz w:val="22"/>
          <w:szCs w:val="22"/>
          <w:lang w:val="es-MX"/>
        </w:rPr>
        <w:t>a roberto_albor@hacienda.gob.mx y sandra_angeles@hacienda.gob.mx</w:t>
      </w:r>
    </w:p>
    <w:p w:rsidR="00BD703F" w:rsidRPr="00374CBE" w:rsidRDefault="00BD703F" w:rsidP="00BD703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Montserrat" w:eastAsia="MS Mincho" w:hAnsi="Montserrat" w:cs="Arial"/>
          <w:sz w:val="22"/>
          <w:szCs w:val="22"/>
          <w:bdr w:val="none" w:sz="0" w:space="0" w:color="auto"/>
          <w:lang w:val="es-ES" w:eastAsia="es-ES"/>
        </w:rPr>
      </w:pPr>
      <w:r w:rsidRPr="00374CBE">
        <w:rPr>
          <w:rFonts w:ascii="Montserrat" w:eastAsia="MS Mincho" w:hAnsi="Montserrat" w:cs="Arial"/>
          <w:sz w:val="22"/>
          <w:szCs w:val="22"/>
          <w:bdr w:val="none" w:sz="0" w:space="0" w:color="auto"/>
          <w:lang w:val="es-ES" w:eastAsia="es-ES"/>
        </w:rPr>
        <w:t>Por comparecencia</w:t>
      </w:r>
      <w:r>
        <w:rPr>
          <w:rFonts w:ascii="Montserrat" w:eastAsia="MS Mincho" w:hAnsi="Montserrat" w:cs="Arial"/>
          <w:sz w:val="22"/>
          <w:szCs w:val="22"/>
          <w:bdr w:val="none" w:sz="0" w:space="0" w:color="auto"/>
          <w:lang w:val="es-ES" w:eastAsia="es-ES"/>
        </w:rPr>
        <w:t xml:space="preserve"> </w:t>
      </w:r>
      <w:r w:rsidRPr="00D40154">
        <w:rPr>
          <w:rFonts w:ascii="Montserrat" w:hAnsi="Montserrat"/>
          <w:sz w:val="22"/>
          <w:szCs w:val="22"/>
          <w:lang w:val="es-MX"/>
        </w:rPr>
        <w:t>en Calzada de la Virgen número 2799, Edificio A, Piso 2, Ala Norte, Colonia C.T.M. Culhuacán, Alcaldía Coyoacán, Código Postal 04480, Ciudad de México.</w:t>
      </w:r>
    </w:p>
    <w:p w:rsidR="00BD703F" w:rsidRPr="00202D0F" w:rsidRDefault="00BD703F" w:rsidP="00BD703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sz w:val="22"/>
          <w:szCs w:val="22"/>
          <w:lang w:val="es-MX"/>
        </w:rPr>
      </w:pPr>
      <w:r w:rsidRPr="00374CBE">
        <w:rPr>
          <w:rFonts w:ascii="Montserrat" w:eastAsia="MS Mincho" w:hAnsi="Montserrat" w:cs="Arial"/>
          <w:sz w:val="22"/>
          <w:szCs w:val="22"/>
          <w:bdr w:val="none" w:sz="0" w:space="0" w:color="auto"/>
          <w:lang w:val="es-ES" w:eastAsia="es-ES"/>
        </w:rPr>
        <w:t>Por correspondencia</w:t>
      </w:r>
      <w:r>
        <w:rPr>
          <w:rFonts w:ascii="Montserrat" w:eastAsia="MS Mincho" w:hAnsi="Montserrat" w:cs="Arial"/>
          <w:sz w:val="22"/>
          <w:szCs w:val="22"/>
          <w:bdr w:val="none" w:sz="0" w:space="0" w:color="auto"/>
          <w:lang w:val="es-ES" w:eastAsia="es-ES"/>
        </w:rPr>
        <w:t xml:space="preserve"> </w:t>
      </w:r>
      <w:r w:rsidRPr="00D40154">
        <w:rPr>
          <w:rFonts w:ascii="Montserrat" w:hAnsi="Montserrat"/>
          <w:sz w:val="22"/>
          <w:szCs w:val="22"/>
          <w:lang w:val="es-MX"/>
        </w:rPr>
        <w:t>en Calzada de la Virgen número 2799, Edificio A, Piso 2, Ala Norte, Colonia C.T.M. Culhuacán, Alcaldía Coyoacán, Código Postal 04480, Ciudad de México.</w:t>
      </w:r>
    </w:p>
    <w:p w:rsidR="00BD703F" w:rsidRPr="00374CBE" w:rsidRDefault="00BD703F" w:rsidP="00BD703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Montserrat" w:eastAsia="MS Mincho" w:hAnsi="Montserrat" w:cs="Arial"/>
          <w:sz w:val="22"/>
          <w:szCs w:val="22"/>
          <w:bdr w:val="none" w:sz="0" w:space="0" w:color="auto"/>
          <w:lang w:val="es-ES" w:eastAsia="es-ES"/>
        </w:rPr>
      </w:pPr>
      <w:r w:rsidRPr="00374CBE">
        <w:rPr>
          <w:rFonts w:ascii="Montserrat" w:eastAsia="MS Mincho" w:hAnsi="Montserrat" w:cs="Arial"/>
          <w:sz w:val="22"/>
          <w:szCs w:val="22"/>
          <w:bdr w:val="none" w:sz="0" w:space="0" w:color="auto"/>
          <w:lang w:val="es-ES" w:eastAsia="es-ES"/>
        </w:rPr>
        <w:t>Por teléfono</w:t>
      </w:r>
      <w:r>
        <w:rPr>
          <w:rFonts w:ascii="Montserrat" w:eastAsia="MS Mincho" w:hAnsi="Montserrat" w:cs="Arial"/>
          <w:sz w:val="22"/>
          <w:szCs w:val="22"/>
          <w:bdr w:val="none" w:sz="0" w:space="0" w:color="auto"/>
          <w:lang w:val="es-ES" w:eastAsia="es-ES"/>
        </w:rPr>
        <w:t xml:space="preserve"> </w:t>
      </w:r>
      <w:r w:rsidRPr="00D40154">
        <w:rPr>
          <w:rFonts w:ascii="Montserrat" w:hAnsi="Montserrat"/>
          <w:sz w:val="22"/>
          <w:szCs w:val="22"/>
          <w:lang w:val="es-MX"/>
        </w:rPr>
        <w:t>al 55-3688-9735 y 55-3688-9742</w:t>
      </w:r>
      <w:r>
        <w:rPr>
          <w:rFonts w:ascii="Montserrat" w:hAnsi="Montserrat"/>
          <w:sz w:val="22"/>
          <w:szCs w:val="22"/>
          <w:lang w:val="es-MX"/>
        </w:rPr>
        <w:t xml:space="preserve"> </w:t>
      </w:r>
      <w:r w:rsidRPr="00D40154">
        <w:rPr>
          <w:rFonts w:ascii="Montserrat" w:hAnsi="Montserrat"/>
          <w:sz w:val="22"/>
          <w:szCs w:val="22"/>
          <w:lang w:val="es-MX"/>
        </w:rPr>
        <w:t>(mencionados en la sección 1 de este documento).</w:t>
      </w:r>
    </w:p>
    <w:p w:rsidR="00BD703F" w:rsidRPr="00374CBE" w:rsidRDefault="00BD703F" w:rsidP="00BD703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Montserrat" w:eastAsia="MS Mincho" w:hAnsi="Montserrat" w:cs="Arial"/>
          <w:sz w:val="22"/>
          <w:szCs w:val="22"/>
          <w:bdr w:val="none" w:sz="0" w:space="0" w:color="auto"/>
          <w:lang w:val="es-ES" w:eastAsia="es-ES"/>
        </w:rPr>
      </w:pPr>
      <w:r w:rsidRPr="00374CBE">
        <w:rPr>
          <w:rFonts w:ascii="Montserrat" w:eastAsia="MS Mincho" w:hAnsi="Montserrat" w:cs="Arial"/>
          <w:sz w:val="22"/>
          <w:szCs w:val="22"/>
          <w:bdr w:val="none" w:sz="0" w:space="0" w:color="auto"/>
          <w:lang w:val="es-ES" w:eastAsia="es-ES"/>
        </w:rPr>
        <w:t>Buzón de Quejas instaladas en los inmuebles de la SHCP.</w:t>
      </w:r>
    </w:p>
    <w:p w:rsidR="00BD703F" w:rsidRPr="00374CBE" w:rsidRDefault="00BD703F" w:rsidP="00BD703F">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Montserrat" w:eastAsia="MS Mincho" w:hAnsi="Montserrat" w:cs="Arial"/>
          <w:sz w:val="22"/>
          <w:szCs w:val="22"/>
          <w:bdr w:val="none" w:sz="0" w:space="0" w:color="auto"/>
          <w:lang w:val="es-ES" w:eastAsia="es-ES"/>
        </w:rPr>
      </w:pPr>
    </w:p>
    <w:p w:rsidR="00BD703F" w:rsidRDefault="00BD703F" w:rsidP="00BD703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Montserrat" w:eastAsia="MS Mincho" w:hAnsi="Montserrat" w:cs="Arial"/>
          <w:i/>
          <w:sz w:val="22"/>
          <w:szCs w:val="22"/>
          <w:bdr w:val="none" w:sz="0" w:space="0" w:color="auto"/>
          <w:lang w:val="es-ES" w:eastAsia="es-ES"/>
        </w:rPr>
      </w:pPr>
      <w:r w:rsidRPr="00374CBE">
        <w:rPr>
          <w:rFonts w:ascii="Montserrat" w:eastAsia="MS Mincho" w:hAnsi="Montserrat" w:cs="Arial"/>
          <w:sz w:val="22"/>
          <w:szCs w:val="22"/>
          <w:bdr w:val="none" w:sz="0" w:space="0" w:color="auto"/>
          <w:lang w:val="es-ES" w:eastAsia="es-ES"/>
        </w:rPr>
        <w:t xml:space="preserve">En ese sentido, las denuncias que se reciben en la Dirección de Quejas de la OIC de la SHCP, a través de los medios de captación referidos, se tramitan de conformidad con </w:t>
      </w:r>
      <w:r w:rsidRPr="00374CBE">
        <w:rPr>
          <w:rFonts w:ascii="Montserrat" w:eastAsia="MS Mincho" w:hAnsi="Montserrat" w:cs="Arial"/>
          <w:i/>
          <w:sz w:val="22"/>
          <w:szCs w:val="22"/>
          <w:bdr w:val="none" w:sz="0" w:space="0" w:color="auto"/>
          <w:lang w:val="es-ES" w:eastAsia="es-ES"/>
        </w:rPr>
        <w:t>los Lineamientos para la atención, investigación y conclusión de quejas y denuncias</w:t>
      </w:r>
      <w:r w:rsidRPr="00374CBE">
        <w:rPr>
          <w:rFonts w:ascii="Montserrat" w:eastAsia="MS Mincho" w:hAnsi="Montserrat" w:cs="Arial"/>
          <w:sz w:val="22"/>
          <w:szCs w:val="22"/>
          <w:bdr w:val="none" w:sz="0" w:space="0" w:color="auto"/>
          <w:vertAlign w:val="superscript"/>
          <w:lang w:val="es-ES" w:eastAsia="es-ES"/>
        </w:rPr>
        <w:footnoteReference w:id="8"/>
      </w:r>
      <w:r w:rsidRPr="00374CBE">
        <w:rPr>
          <w:rFonts w:ascii="Montserrat" w:eastAsia="MS Mincho" w:hAnsi="Montserrat" w:cs="Arial"/>
          <w:sz w:val="22"/>
          <w:szCs w:val="22"/>
          <w:bdr w:val="none" w:sz="0" w:space="0" w:color="auto"/>
          <w:lang w:val="es-ES" w:eastAsia="es-ES"/>
        </w:rPr>
        <w:t xml:space="preserve">, así como las disposiciones del Libro Segundo del Título Primero que comprende los artículos 90 al 110 de la </w:t>
      </w:r>
      <w:r w:rsidRPr="00374CBE">
        <w:rPr>
          <w:rFonts w:ascii="Montserrat" w:eastAsia="MS Mincho" w:hAnsi="Montserrat" w:cs="Arial"/>
          <w:i/>
          <w:sz w:val="22"/>
          <w:szCs w:val="22"/>
          <w:bdr w:val="none" w:sz="0" w:space="0" w:color="auto"/>
          <w:lang w:val="es-ES" w:eastAsia="es-ES"/>
        </w:rPr>
        <w:t>Ley General de Responsabilidades administrativas</w:t>
      </w:r>
      <w:r w:rsidRPr="00374CBE">
        <w:rPr>
          <w:rFonts w:ascii="Montserrat" w:eastAsia="MS Mincho" w:hAnsi="Montserrat" w:cs="Arial"/>
          <w:i/>
          <w:sz w:val="22"/>
          <w:szCs w:val="22"/>
          <w:bdr w:val="none" w:sz="0" w:space="0" w:color="auto"/>
          <w:vertAlign w:val="superscript"/>
          <w:lang w:val="es-ES" w:eastAsia="es-ES"/>
        </w:rPr>
        <w:footnoteReference w:id="9"/>
      </w:r>
      <w:r w:rsidRPr="00374CBE">
        <w:rPr>
          <w:rFonts w:ascii="Montserrat" w:eastAsia="MS Mincho" w:hAnsi="Montserrat" w:cs="Arial"/>
          <w:i/>
          <w:sz w:val="22"/>
          <w:szCs w:val="22"/>
          <w:bdr w:val="none" w:sz="0" w:space="0" w:color="auto"/>
          <w:lang w:val="es-ES" w:eastAsia="es-ES"/>
        </w:rPr>
        <w:t>.</w:t>
      </w:r>
    </w:p>
    <w:p w:rsidR="00BD703F" w:rsidRPr="00DB18F2" w:rsidRDefault="00BD703F" w:rsidP="00BD703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Montserrat" w:eastAsia="MS Mincho" w:hAnsi="Montserrat" w:cs="Arial"/>
          <w:sz w:val="22"/>
          <w:szCs w:val="22"/>
          <w:bdr w:val="none" w:sz="0" w:space="0" w:color="auto"/>
          <w:lang w:val="es-ES" w:eastAsia="es-ES"/>
        </w:rPr>
      </w:pPr>
    </w:p>
    <w:p w:rsidR="00BD703F" w:rsidRDefault="00BD703F" w:rsidP="00BD703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Montserrat" w:eastAsia="MS Mincho" w:hAnsi="Montserrat" w:cs="Arial"/>
          <w:sz w:val="22"/>
          <w:szCs w:val="22"/>
          <w:bdr w:val="none" w:sz="0" w:space="0" w:color="auto"/>
          <w:lang w:val="es-ES" w:eastAsia="es-ES"/>
        </w:rPr>
      </w:pPr>
      <w:r w:rsidRPr="00374CBE">
        <w:rPr>
          <w:rFonts w:ascii="Montserrat" w:eastAsia="MS Mincho" w:hAnsi="Montserrat" w:cs="Arial"/>
          <w:sz w:val="22"/>
          <w:szCs w:val="22"/>
          <w:bdr w:val="none" w:sz="0" w:space="0" w:color="auto"/>
          <w:lang w:val="es-ES" w:eastAsia="es-ES"/>
        </w:rPr>
        <w:t>Para gestionar estas quejas y demandas, la UAP creará una base de datos recolectando la información recibida a través del OIC sobre el Proyecto.</w:t>
      </w:r>
      <w:r>
        <w:rPr>
          <w:rFonts w:ascii="Montserrat" w:eastAsia="MS Mincho" w:hAnsi="Montserrat" w:cs="Arial"/>
          <w:sz w:val="22"/>
          <w:szCs w:val="22"/>
          <w:bdr w:val="none" w:sz="0" w:space="0" w:color="auto"/>
          <w:lang w:val="es-ES" w:eastAsia="es-ES"/>
        </w:rPr>
        <w:t xml:space="preserve"> Así mismo se creará una sección dentro del portal del Proyecto</w:t>
      </w:r>
      <w:r w:rsidRPr="00374CBE">
        <w:rPr>
          <w:rFonts w:ascii="Montserrat" w:eastAsia="MS Mincho" w:hAnsi="Montserrat" w:cs="Arial"/>
          <w:sz w:val="22"/>
          <w:szCs w:val="22"/>
          <w:bdr w:val="none" w:sz="0" w:space="0" w:color="auto"/>
          <w:lang w:val="es-ES" w:eastAsia="es-ES"/>
        </w:rPr>
        <w:t xml:space="preserve"> donde se podrá ver la estadística de quejas y reclamos realizados, así como su atención oportuna de manera semestral. Todo el proceso será supervisado por la UAP, en específico por el personal de monitoreo y evaluación con la pertinente participación de DGTSI.</w:t>
      </w:r>
    </w:p>
    <w:p w:rsidR="00BD703F" w:rsidRPr="00374CBE" w:rsidRDefault="00BD703F" w:rsidP="00BD703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Montserrat" w:eastAsia="MS Mincho" w:hAnsi="Montserrat" w:cs="Arial"/>
          <w:sz w:val="22"/>
          <w:szCs w:val="22"/>
          <w:bdr w:val="none" w:sz="0" w:space="0" w:color="auto"/>
          <w:lang w:val="es-ES" w:eastAsia="es-ES"/>
        </w:rPr>
      </w:pPr>
    </w:p>
    <w:p w:rsidR="00BD703F" w:rsidRPr="00AC74C8" w:rsidRDefault="00BD703F" w:rsidP="00BD703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Montserrat" w:eastAsia="MS Mincho" w:hAnsi="Montserrat" w:cs="Arial"/>
          <w:sz w:val="22"/>
          <w:szCs w:val="22"/>
          <w:bdr w:val="none" w:sz="0" w:space="0" w:color="auto"/>
          <w:lang w:val="es-ES" w:eastAsia="es-ES"/>
        </w:rPr>
        <w:sectPr w:rsidR="00BD703F" w:rsidRPr="00AC74C8" w:rsidSect="00E403D3">
          <w:headerReference w:type="default" r:id="rId7"/>
          <w:footerReference w:type="default" r:id="rId8"/>
          <w:pgSz w:w="12240" w:h="15840"/>
          <w:pgMar w:top="1304" w:right="1304" w:bottom="1304" w:left="1304" w:header="720" w:footer="720" w:gutter="0"/>
          <w:pgNumType w:start="1"/>
          <w:cols w:space="720"/>
          <w:docGrid w:linePitch="360"/>
        </w:sectPr>
      </w:pPr>
      <w:r>
        <w:rPr>
          <w:rFonts w:ascii="Montserrat" w:eastAsia="MS Mincho" w:hAnsi="Montserrat" w:cs="Arial"/>
          <w:sz w:val="22"/>
          <w:szCs w:val="22"/>
          <w:bdr w:val="none" w:sz="0" w:space="0" w:color="auto"/>
          <w:lang w:val="es-ES" w:eastAsia="es-ES"/>
        </w:rPr>
        <w:t>Finalmente, las partes interesadas del P</w:t>
      </w:r>
      <w:r w:rsidRPr="00082BB4">
        <w:rPr>
          <w:rFonts w:ascii="Montserrat" w:eastAsia="MS Mincho" w:hAnsi="Montserrat" w:cs="Arial"/>
          <w:sz w:val="22"/>
          <w:szCs w:val="22"/>
          <w:bdr w:val="none" w:sz="0" w:space="0" w:color="auto"/>
          <w:lang w:val="es-ES" w:eastAsia="es-ES"/>
        </w:rPr>
        <w:t xml:space="preserve">royecto </w:t>
      </w:r>
      <w:r>
        <w:rPr>
          <w:rFonts w:ascii="Montserrat" w:eastAsia="MS Mincho" w:hAnsi="Montserrat" w:cs="Arial"/>
          <w:sz w:val="22"/>
          <w:szCs w:val="22"/>
          <w:bdr w:val="none" w:sz="0" w:space="0" w:color="auto"/>
          <w:lang w:val="es-ES" w:eastAsia="es-ES"/>
        </w:rPr>
        <w:t xml:space="preserve">también </w:t>
      </w:r>
      <w:r w:rsidRPr="00082BB4">
        <w:rPr>
          <w:rFonts w:ascii="Montserrat" w:eastAsia="MS Mincho" w:hAnsi="Montserrat" w:cs="Arial"/>
          <w:sz w:val="22"/>
          <w:szCs w:val="22"/>
          <w:bdr w:val="none" w:sz="0" w:space="0" w:color="auto"/>
          <w:lang w:val="es-ES" w:eastAsia="es-ES"/>
        </w:rPr>
        <w:t xml:space="preserve">podrán realizar consultas, sugerencias y preguntas generales por el siguiente medio: enviando </w:t>
      </w:r>
      <w:r w:rsidRPr="003F01D7">
        <w:rPr>
          <w:rFonts w:ascii="Montserrat" w:eastAsia="MS Mincho" w:hAnsi="Montserrat" w:cs="Arial"/>
          <w:sz w:val="22"/>
          <w:szCs w:val="22"/>
          <w:bdr w:val="none" w:sz="0" w:space="0" w:color="auto"/>
          <w:lang w:val="es-ES" w:eastAsia="es-ES"/>
        </w:rPr>
        <w:t xml:space="preserve">una solicitud a la Unidad Administradora del Proyecto (UAP), al correo que la SHCP ponga a disposición o llamando al 36884606 o, en su caso, </w:t>
      </w:r>
      <w:r w:rsidRPr="00082BB4">
        <w:rPr>
          <w:rFonts w:ascii="Montserrat" w:eastAsia="MS Mincho" w:hAnsi="Montserrat" w:cs="Arial"/>
          <w:sz w:val="22"/>
          <w:szCs w:val="22"/>
          <w:bdr w:val="none" w:sz="0" w:space="0" w:color="auto"/>
          <w:lang w:val="es-ES" w:eastAsia="es-ES"/>
        </w:rPr>
        <w:t>solicitando una reunión con la</w:t>
      </w:r>
      <w:r>
        <w:rPr>
          <w:rFonts w:ascii="Montserrat" w:eastAsia="MS Mincho" w:hAnsi="Montserrat" w:cs="Arial"/>
          <w:sz w:val="22"/>
          <w:szCs w:val="22"/>
          <w:bdr w:val="none" w:sz="0" w:space="0" w:color="auto"/>
          <w:lang w:val="es-ES" w:eastAsia="es-ES"/>
        </w:rPr>
        <w:t xml:space="preserve"> UAP</w:t>
      </w:r>
      <w:r w:rsidRPr="00082BB4">
        <w:rPr>
          <w:rFonts w:ascii="Montserrat" w:eastAsia="MS Mincho" w:hAnsi="Montserrat" w:cs="Arial"/>
          <w:sz w:val="22"/>
          <w:szCs w:val="22"/>
          <w:bdr w:val="none" w:sz="0" w:space="0" w:color="auto"/>
          <w:lang w:val="es-ES" w:eastAsia="es-ES"/>
        </w:rPr>
        <w:t>.</w:t>
      </w:r>
      <w:r>
        <w:rPr>
          <w:rFonts w:ascii="Montserrat" w:eastAsia="MS Mincho" w:hAnsi="Montserrat" w:cs="Arial"/>
          <w:sz w:val="22"/>
          <w:szCs w:val="22"/>
          <w:bdr w:val="none" w:sz="0" w:space="0" w:color="auto"/>
          <w:lang w:val="es-ES" w:eastAsia="es-ES"/>
        </w:rPr>
        <w:t xml:space="preserve"> Las solicitudes se</w:t>
      </w:r>
      <w:bookmarkStart w:id="5" w:name="_GoBack"/>
      <w:bookmarkEnd w:id="5"/>
      <w:r>
        <w:rPr>
          <w:rFonts w:ascii="Montserrat" w:eastAsia="MS Mincho" w:hAnsi="Montserrat" w:cs="Arial"/>
          <w:sz w:val="22"/>
          <w:szCs w:val="22"/>
          <w:bdr w:val="none" w:sz="0" w:space="0" w:color="auto"/>
          <w:lang w:val="es-ES" w:eastAsia="es-ES"/>
        </w:rPr>
        <w:t>rán atendidas en un plazo de 10 días hábiles a partir de su recepción</w:t>
      </w:r>
    </w:p>
    <w:p w:rsidR="00BD703F" w:rsidRPr="00BD703F" w:rsidRDefault="00BD703F">
      <w:pPr>
        <w:rPr>
          <w:lang w:val="es-ES"/>
        </w:rPr>
      </w:pPr>
    </w:p>
    <w:sectPr w:rsidR="00BD703F" w:rsidRPr="00BD703F" w:rsidSect="0028668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01F2" w:rsidRDefault="00AD01F2" w:rsidP="00BD703F">
      <w:pPr>
        <w:spacing w:line="240" w:lineRule="auto"/>
      </w:pPr>
      <w:r>
        <w:separator/>
      </w:r>
    </w:p>
  </w:endnote>
  <w:endnote w:type="continuationSeparator" w:id="0">
    <w:p w:rsidR="00AD01F2" w:rsidRDefault="00AD01F2" w:rsidP="00BD7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Montserrat">
    <w:panose1 w:val="020B0604020202020204"/>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8992812"/>
      <w:docPartObj>
        <w:docPartGallery w:val="Page Numbers (Bottom of Page)"/>
        <w:docPartUnique/>
      </w:docPartObj>
    </w:sdtPr>
    <w:sdtContent>
      <w:p w:rsidR="00BD703F" w:rsidRDefault="00BD703F">
        <w:pPr>
          <w:pStyle w:val="Piedepgina"/>
          <w:jc w:val="right"/>
        </w:pPr>
        <w:r>
          <w:fldChar w:fldCharType="begin"/>
        </w:r>
        <w:r>
          <w:instrText>PAGE   \* MERGEFORMAT</w:instrText>
        </w:r>
        <w:r>
          <w:fldChar w:fldCharType="separate"/>
        </w:r>
        <w:r w:rsidRPr="00E72F73">
          <w:rPr>
            <w:noProof/>
            <w:lang w:val="es-ES"/>
          </w:rPr>
          <w:t>16</w:t>
        </w:r>
        <w:r>
          <w:fldChar w:fldCharType="end"/>
        </w:r>
      </w:p>
    </w:sdtContent>
  </w:sdt>
  <w:p w:rsidR="00BD703F" w:rsidRDefault="00BD70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01F2" w:rsidRDefault="00AD01F2" w:rsidP="00BD703F">
      <w:pPr>
        <w:spacing w:line="240" w:lineRule="auto"/>
      </w:pPr>
      <w:r>
        <w:separator/>
      </w:r>
    </w:p>
  </w:footnote>
  <w:footnote w:type="continuationSeparator" w:id="0">
    <w:p w:rsidR="00AD01F2" w:rsidRDefault="00AD01F2" w:rsidP="00BD703F">
      <w:pPr>
        <w:spacing w:line="240" w:lineRule="auto"/>
      </w:pPr>
      <w:r>
        <w:continuationSeparator/>
      </w:r>
    </w:p>
  </w:footnote>
  <w:footnote w:id="1">
    <w:p w:rsidR="00BD703F" w:rsidRPr="00F3398C" w:rsidRDefault="00BD703F" w:rsidP="00BD703F">
      <w:pPr>
        <w:pStyle w:val="Textonotapie"/>
        <w:rPr>
          <w:rFonts w:ascii="Montserrat" w:hAnsi="Montserrat"/>
          <w:lang w:val="es-MX"/>
        </w:rPr>
      </w:pPr>
      <w:r w:rsidRPr="00F3398C">
        <w:rPr>
          <w:rStyle w:val="Refdenotaalpie"/>
          <w:rFonts w:ascii="Montserrat" w:hAnsi="Montserrat"/>
        </w:rPr>
        <w:footnoteRef/>
      </w:r>
      <w:r w:rsidRPr="00F3398C">
        <w:rPr>
          <w:rFonts w:ascii="Montserrat" w:hAnsi="Montserrat"/>
          <w:lang w:val="es-MX"/>
        </w:rPr>
        <w:t xml:space="preserve"> Disponible en: </w:t>
      </w:r>
      <w:hyperlink r:id="rId1" w:history="1">
        <w:r w:rsidRPr="00F3398C">
          <w:rPr>
            <w:rStyle w:val="Hipervnculo"/>
            <w:rFonts w:ascii="Montserrat" w:eastAsia="Arial Unicode MS" w:hAnsi="Montserrat"/>
            <w:lang w:val="es-MX"/>
          </w:rPr>
          <w:t>http://www.diputados.gob.mx/LeyesBiblio/pdf/LFTAIP_270117.pdf</w:t>
        </w:r>
      </w:hyperlink>
    </w:p>
  </w:footnote>
  <w:footnote w:id="2">
    <w:p w:rsidR="00BD703F" w:rsidRPr="00F3398C" w:rsidRDefault="00BD703F" w:rsidP="00BD703F">
      <w:pPr>
        <w:pStyle w:val="Textonotapie"/>
        <w:jc w:val="left"/>
        <w:rPr>
          <w:rFonts w:ascii="Montserrat" w:hAnsi="Montserrat"/>
          <w:lang w:val="es-MX"/>
        </w:rPr>
      </w:pPr>
      <w:r w:rsidRPr="00F3398C">
        <w:rPr>
          <w:rStyle w:val="Refdenotaalpie"/>
          <w:rFonts w:ascii="Montserrat" w:hAnsi="Montserrat"/>
        </w:rPr>
        <w:footnoteRef/>
      </w:r>
      <w:r w:rsidRPr="00F3398C">
        <w:rPr>
          <w:rFonts w:ascii="Montserrat" w:hAnsi="Montserrat"/>
          <w:lang w:val="es-MX"/>
        </w:rPr>
        <w:t xml:space="preserve"> </w:t>
      </w:r>
      <w:r w:rsidRPr="00F3398C">
        <w:rPr>
          <w:rFonts w:ascii="Montserrat" w:hAnsi="Montserrat"/>
          <w:lang w:val="es-MX"/>
        </w:rPr>
        <w:t xml:space="preserve">Disponible en: </w:t>
      </w:r>
      <w:hyperlink r:id="rId2" w:history="1">
        <w:r w:rsidRPr="00F3398C">
          <w:rPr>
            <w:rStyle w:val="Hipervnculo"/>
            <w:rFonts w:ascii="Montserrat" w:eastAsia="Arial Unicode MS" w:hAnsi="Montserrat"/>
            <w:lang w:val="es-MX"/>
          </w:rPr>
          <w:t>http://www.diputados.gob.mx/LeyesBiblio/marjur/marco/Reg_TAIPPDPCDCU_080518.pdf</w:t>
        </w:r>
      </w:hyperlink>
      <w:r w:rsidRPr="00F3398C">
        <w:rPr>
          <w:rFonts w:ascii="Montserrat" w:hAnsi="Montserrat"/>
          <w:lang w:val="es-MX"/>
        </w:rPr>
        <w:t xml:space="preserve"> </w:t>
      </w:r>
    </w:p>
  </w:footnote>
  <w:footnote w:id="3">
    <w:p w:rsidR="00BD703F" w:rsidRPr="00F3398C" w:rsidRDefault="00BD703F" w:rsidP="00BD703F">
      <w:pPr>
        <w:pStyle w:val="Textonotapie"/>
        <w:rPr>
          <w:rFonts w:ascii="Montserrat" w:hAnsi="Montserrat"/>
          <w:lang w:val="es-MX"/>
        </w:rPr>
      </w:pPr>
      <w:r w:rsidRPr="00F3398C">
        <w:rPr>
          <w:rStyle w:val="Refdenotaalpie"/>
          <w:rFonts w:ascii="Montserrat" w:hAnsi="Montserrat"/>
        </w:rPr>
        <w:footnoteRef/>
      </w:r>
      <w:r w:rsidRPr="00F3398C">
        <w:rPr>
          <w:rFonts w:ascii="Montserrat" w:hAnsi="Montserrat"/>
          <w:lang w:val="es-MX"/>
        </w:rPr>
        <w:t xml:space="preserve"> </w:t>
      </w:r>
      <w:r w:rsidRPr="00F3398C">
        <w:rPr>
          <w:rFonts w:ascii="Montserrat" w:hAnsi="Montserrat"/>
          <w:lang w:val="es-MX"/>
        </w:rPr>
        <w:t xml:space="preserve">Disponible en: </w:t>
      </w:r>
      <w:hyperlink r:id="rId3" w:history="1">
        <w:r w:rsidRPr="00F3398C">
          <w:rPr>
            <w:rStyle w:val="Hipervnculo"/>
            <w:rFonts w:ascii="Montserrat" w:eastAsia="Arial Unicode MS" w:hAnsi="Montserrat"/>
            <w:lang w:val="es-MX"/>
          </w:rPr>
          <w:t>https://www.plataformadetransparencia.org.mx/web/guest/inicio</w:t>
        </w:r>
      </w:hyperlink>
      <w:r w:rsidRPr="00F3398C">
        <w:rPr>
          <w:rFonts w:ascii="Montserrat" w:hAnsi="Montserrat"/>
          <w:lang w:val="es-MX"/>
        </w:rPr>
        <w:t xml:space="preserve"> </w:t>
      </w:r>
    </w:p>
  </w:footnote>
  <w:footnote w:id="4">
    <w:p w:rsidR="00BD703F" w:rsidRPr="00F3398C" w:rsidRDefault="00BD703F" w:rsidP="00BD703F">
      <w:pPr>
        <w:pStyle w:val="Textonotapie"/>
        <w:rPr>
          <w:rFonts w:ascii="Montserrat" w:hAnsi="Montserrat"/>
          <w:lang w:val="es-MX"/>
        </w:rPr>
      </w:pPr>
      <w:r w:rsidRPr="00F3398C">
        <w:rPr>
          <w:rStyle w:val="Refdenotaalpie"/>
          <w:rFonts w:ascii="Montserrat" w:hAnsi="Montserrat"/>
        </w:rPr>
        <w:footnoteRef/>
      </w:r>
      <w:r w:rsidRPr="00F3398C">
        <w:rPr>
          <w:rFonts w:ascii="Montserrat" w:hAnsi="Montserrat"/>
          <w:lang w:val="es-MX"/>
        </w:rPr>
        <w:t xml:space="preserve"> </w:t>
      </w:r>
      <w:r w:rsidRPr="00F3398C">
        <w:rPr>
          <w:rFonts w:ascii="Montserrat" w:hAnsi="Montserrat"/>
          <w:lang w:val="es-MX"/>
        </w:rPr>
        <w:t xml:space="preserve">Disponible en: </w:t>
      </w:r>
      <w:hyperlink r:id="rId4" w:history="1">
        <w:r w:rsidRPr="00F3398C">
          <w:rPr>
            <w:rStyle w:val="Hipervnculo"/>
            <w:rFonts w:ascii="Montserrat" w:eastAsia="Arial Unicode MS" w:hAnsi="Montserrat"/>
            <w:lang w:val="es-MX"/>
          </w:rPr>
          <w:t>https://www.gob.mx/atencion/</w:t>
        </w:r>
      </w:hyperlink>
    </w:p>
  </w:footnote>
  <w:footnote w:id="5">
    <w:p w:rsidR="00BD703F" w:rsidRPr="00F3398C" w:rsidRDefault="00BD703F" w:rsidP="00BD703F">
      <w:pPr>
        <w:pStyle w:val="Textonotapie"/>
        <w:jc w:val="left"/>
        <w:rPr>
          <w:rFonts w:ascii="Montserrat" w:hAnsi="Montserrat"/>
          <w:lang w:val="es-MX"/>
        </w:rPr>
      </w:pPr>
      <w:r w:rsidRPr="00F3398C">
        <w:rPr>
          <w:rStyle w:val="Refdenotaalpie"/>
          <w:rFonts w:ascii="Montserrat" w:hAnsi="Montserrat"/>
        </w:rPr>
        <w:footnoteRef/>
      </w:r>
      <w:r w:rsidRPr="00F3398C">
        <w:rPr>
          <w:rFonts w:ascii="Montserrat" w:hAnsi="Montserrat"/>
          <w:lang w:val="es-MX"/>
        </w:rPr>
        <w:t xml:space="preserve"> </w:t>
      </w:r>
      <w:r w:rsidRPr="00F3398C">
        <w:rPr>
          <w:rFonts w:ascii="Montserrat" w:hAnsi="Montserrat"/>
          <w:lang w:val="es-MX"/>
        </w:rPr>
        <w:t xml:space="preserve">Disponible en: </w:t>
      </w:r>
      <w:hyperlink r:id="rId5" w:history="1">
        <w:r w:rsidRPr="00F3398C">
          <w:rPr>
            <w:rStyle w:val="Hipervnculo"/>
            <w:rFonts w:ascii="Montserrat" w:eastAsia="Arial Unicode MS" w:hAnsi="Montserrat"/>
            <w:lang w:val="es-MX"/>
          </w:rPr>
          <w:t>https://ts.sct.gob.mx/normatecaNew/wp-content/uploads/2016/04/Reglas_para_el_tramite.pdf</w:t>
        </w:r>
      </w:hyperlink>
      <w:r w:rsidRPr="00F3398C">
        <w:rPr>
          <w:rFonts w:ascii="Montserrat" w:hAnsi="Montserrat"/>
          <w:lang w:val="es-MX"/>
        </w:rPr>
        <w:t xml:space="preserve"> </w:t>
      </w:r>
    </w:p>
  </w:footnote>
  <w:footnote w:id="6">
    <w:p w:rsidR="00BD703F" w:rsidRPr="00F3398C" w:rsidRDefault="00BD703F" w:rsidP="00BD703F">
      <w:pPr>
        <w:pStyle w:val="Textonotapie"/>
        <w:rPr>
          <w:rFonts w:ascii="Montserrat" w:hAnsi="Montserrat"/>
          <w:lang w:val="es-MX"/>
        </w:rPr>
      </w:pPr>
      <w:r w:rsidRPr="00F3398C">
        <w:rPr>
          <w:rStyle w:val="Refdenotaalpie"/>
          <w:rFonts w:ascii="Montserrat" w:hAnsi="Montserrat"/>
        </w:rPr>
        <w:footnoteRef/>
      </w:r>
      <w:r w:rsidRPr="00F3398C">
        <w:rPr>
          <w:rFonts w:ascii="Montserrat" w:hAnsi="Montserrat"/>
          <w:lang w:val="es-MX"/>
        </w:rPr>
        <w:t xml:space="preserve"> </w:t>
      </w:r>
      <w:r w:rsidRPr="00F3398C">
        <w:rPr>
          <w:rFonts w:ascii="Montserrat" w:hAnsi="Montserrat"/>
          <w:lang w:val="es-MX"/>
        </w:rPr>
        <w:t xml:space="preserve">Disponible en: </w:t>
      </w:r>
      <w:hyperlink r:id="rId6" w:history="1">
        <w:r w:rsidRPr="00F3398C">
          <w:rPr>
            <w:rStyle w:val="Hipervnculo"/>
            <w:rFonts w:ascii="Montserrat" w:eastAsia="Arial Unicode MS" w:hAnsi="Montserrat"/>
            <w:lang w:val="es-MX"/>
          </w:rPr>
          <w:t>https://sidac.presidencia.gob.mx/consulta</w:t>
        </w:r>
      </w:hyperlink>
      <w:r w:rsidRPr="00F3398C">
        <w:rPr>
          <w:rFonts w:ascii="Montserrat" w:hAnsi="Montserrat"/>
          <w:lang w:val="es-MX"/>
        </w:rPr>
        <w:t xml:space="preserve"> </w:t>
      </w:r>
    </w:p>
  </w:footnote>
  <w:footnote w:id="7">
    <w:p w:rsidR="00BD703F" w:rsidRPr="0099043A" w:rsidRDefault="00BD703F" w:rsidP="00BD703F">
      <w:pPr>
        <w:pStyle w:val="Textonotapie"/>
        <w:rPr>
          <w:rFonts w:ascii="Montserrat" w:hAnsi="Montserrat"/>
          <w:lang w:val="es-MX"/>
        </w:rPr>
      </w:pPr>
      <w:r w:rsidRPr="0099043A">
        <w:rPr>
          <w:rStyle w:val="Refdenotaalpie"/>
          <w:rFonts w:ascii="Montserrat" w:hAnsi="Montserrat"/>
        </w:rPr>
        <w:footnoteRef/>
      </w:r>
      <w:r w:rsidRPr="0099043A">
        <w:rPr>
          <w:rFonts w:ascii="Montserrat" w:hAnsi="Montserrat"/>
          <w:lang w:val="es-MX"/>
        </w:rPr>
        <w:t xml:space="preserve"> </w:t>
      </w:r>
      <w:r w:rsidRPr="0099043A">
        <w:rPr>
          <w:rFonts w:ascii="Montserrat" w:hAnsi="Montserrat"/>
          <w:lang w:val="es-MX"/>
        </w:rPr>
        <w:t>Disponible en</w:t>
      </w:r>
      <w:r>
        <w:rPr>
          <w:rFonts w:ascii="Montserrat" w:hAnsi="Montserrat"/>
          <w:lang w:val="es-MX"/>
        </w:rPr>
        <w:t>:</w:t>
      </w:r>
      <w:r w:rsidRPr="0099043A">
        <w:rPr>
          <w:rFonts w:ascii="Montserrat" w:hAnsi="Montserrat"/>
          <w:lang w:val="es-MX"/>
        </w:rPr>
        <w:t xml:space="preserve"> </w:t>
      </w:r>
      <w:hyperlink r:id="rId7" w:anchor="!/" w:history="1">
        <w:r w:rsidRPr="0099043A">
          <w:rPr>
            <w:rStyle w:val="Hipervnculo"/>
            <w:rFonts w:ascii="Montserrat" w:eastAsia="Arial Unicode MS" w:hAnsi="Montserrat"/>
            <w:lang w:val="es-MX"/>
          </w:rPr>
          <w:t>https://sidec.funcionpublica.gob.mx/#!/</w:t>
        </w:r>
      </w:hyperlink>
      <w:r w:rsidRPr="0099043A">
        <w:rPr>
          <w:rFonts w:ascii="Montserrat" w:hAnsi="Montserrat"/>
          <w:lang w:val="es-MX"/>
        </w:rPr>
        <w:t xml:space="preserve"> </w:t>
      </w:r>
    </w:p>
  </w:footnote>
  <w:footnote w:id="8">
    <w:p w:rsidR="00BD703F" w:rsidRPr="0099043A" w:rsidRDefault="00BD703F" w:rsidP="00BD703F">
      <w:pPr>
        <w:pStyle w:val="Textonotapie"/>
        <w:rPr>
          <w:rFonts w:ascii="Montserrat" w:hAnsi="Montserrat"/>
          <w:lang w:val="es-MX"/>
        </w:rPr>
      </w:pPr>
      <w:r w:rsidRPr="0099043A">
        <w:rPr>
          <w:rStyle w:val="Refdenotaalpie"/>
          <w:rFonts w:ascii="Montserrat" w:hAnsi="Montserrat"/>
        </w:rPr>
        <w:footnoteRef/>
      </w:r>
      <w:r w:rsidRPr="0099043A">
        <w:rPr>
          <w:rFonts w:ascii="Montserrat" w:hAnsi="Montserrat"/>
          <w:lang w:val="es-MX"/>
        </w:rPr>
        <w:t xml:space="preserve"> </w:t>
      </w:r>
      <w:r w:rsidRPr="0099043A">
        <w:rPr>
          <w:rFonts w:ascii="Montserrat" w:hAnsi="Montserrat"/>
          <w:lang w:val="es-MX"/>
        </w:rPr>
        <w:t>Disponible en</w:t>
      </w:r>
      <w:r>
        <w:rPr>
          <w:rFonts w:ascii="Montserrat" w:hAnsi="Montserrat"/>
          <w:lang w:val="es-MX"/>
        </w:rPr>
        <w:t>:</w:t>
      </w:r>
      <w:r w:rsidRPr="0099043A">
        <w:rPr>
          <w:rFonts w:ascii="Montserrat" w:hAnsi="Montserrat"/>
          <w:lang w:val="es-MX"/>
        </w:rPr>
        <w:t xml:space="preserve"> </w:t>
      </w:r>
      <w:hyperlink r:id="rId8" w:history="1">
        <w:r w:rsidRPr="0099043A">
          <w:rPr>
            <w:rStyle w:val="Hipervnculo"/>
            <w:rFonts w:ascii="Montserrat" w:eastAsia="Arial Unicode MS" w:hAnsi="Montserrat"/>
            <w:lang w:val="es-MX"/>
          </w:rPr>
          <w:t>http://dof.gob.mx/nota_detalle.php?codigo=5434315&amp;fecha=25/04/2016</w:t>
        </w:r>
      </w:hyperlink>
    </w:p>
  </w:footnote>
  <w:footnote w:id="9">
    <w:p w:rsidR="00BD703F" w:rsidRPr="0079296F" w:rsidRDefault="00BD703F" w:rsidP="00BD703F">
      <w:pPr>
        <w:pStyle w:val="Textonotapie"/>
        <w:rPr>
          <w:lang w:val="es-MX"/>
        </w:rPr>
      </w:pPr>
      <w:r w:rsidRPr="000B5E75">
        <w:rPr>
          <w:rStyle w:val="Refdenotaalpie"/>
          <w:rFonts w:ascii="Montserrat" w:hAnsi="Montserrat"/>
        </w:rPr>
        <w:footnoteRef/>
      </w:r>
      <w:r w:rsidRPr="000B5E75">
        <w:rPr>
          <w:rFonts w:ascii="Montserrat" w:hAnsi="Montserrat"/>
          <w:lang w:val="es-MX"/>
        </w:rPr>
        <w:t xml:space="preserve"> </w:t>
      </w:r>
      <w:r w:rsidRPr="000B5E75">
        <w:rPr>
          <w:rFonts w:ascii="Montserrat" w:hAnsi="Montserrat"/>
          <w:lang w:val="es-MX"/>
        </w:rPr>
        <w:t>Disponible en: http://www.diputados.gob.mx/LeyesBiblio/pdf/LGRA_191119.pdf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D703F" w:rsidRDefault="00BD703F">
    <w:pPr>
      <w:pStyle w:val="Encabezado"/>
      <w:jc w:val="right"/>
    </w:pPr>
  </w:p>
  <w:p w:rsidR="00BD703F" w:rsidRPr="00076506" w:rsidRDefault="00BD703F" w:rsidP="00AC4540">
    <w:pPr>
      <w:pStyle w:val="Encabezado"/>
      <w:jc w:val="center"/>
      <w:rPr>
        <w:rFonts w:cs="Calibri"/>
        <w:b/>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F19A5"/>
    <w:multiLevelType w:val="hybridMultilevel"/>
    <w:tmpl w:val="2F32DE38"/>
    <w:lvl w:ilvl="0" w:tplc="080A000B">
      <w:start w:val="1"/>
      <w:numFmt w:val="bullet"/>
      <w:lvlText w:val=""/>
      <w:lvlJc w:val="left"/>
      <w:pPr>
        <w:ind w:left="720" w:hanging="360"/>
      </w:pPr>
      <w:rPr>
        <w:rFonts w:ascii="Wingdings" w:hAnsi="Wingdings" w:hint="default"/>
      </w:rPr>
    </w:lvl>
    <w:lvl w:ilvl="1" w:tplc="080A0017">
      <w:start w:val="1"/>
      <w:numFmt w:val="lowerLetter"/>
      <w:lvlText w:val="%2)"/>
      <w:lvlJc w:val="left"/>
      <w:pPr>
        <w:ind w:left="1440" w:hanging="360"/>
      </w:pPr>
      <w:rPr>
        <w:rFonts w:hint="default"/>
      </w:rPr>
    </w:lvl>
    <w:lvl w:ilvl="2" w:tplc="080A0013">
      <w:start w:val="1"/>
      <w:numFmt w:val="upperRoman"/>
      <w:lvlText w:val="%3."/>
      <w:lvlJc w:val="right"/>
      <w:pPr>
        <w:ind w:left="2160" w:hanging="360"/>
      </w:pPr>
      <w:rPr>
        <w:rFonts w:hint="default"/>
      </w:rPr>
    </w:lvl>
    <w:lvl w:ilvl="3" w:tplc="224E850A">
      <w:start w:val="1"/>
      <w:numFmt w:val="low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1B376F"/>
    <w:multiLevelType w:val="hybridMultilevel"/>
    <w:tmpl w:val="D288534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3F"/>
    <w:rsid w:val="00286680"/>
    <w:rsid w:val="00AD01F2"/>
    <w:rsid w:val="00BD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DCE0"/>
  <w15:chartTrackingRefBased/>
  <w15:docId w15:val="{6EC68B24-F101-1E49-B218-3CCA3157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703F"/>
    <w:pPr>
      <w:widowControl w:val="0"/>
      <w:pBdr>
        <w:top w:val="nil"/>
        <w:left w:val="nil"/>
        <w:bottom w:val="nil"/>
        <w:right w:val="nil"/>
        <w:between w:val="nil"/>
        <w:bar w:val="nil"/>
      </w:pBdr>
      <w:adjustRightInd w:val="0"/>
      <w:spacing w:line="360" w:lineRule="atLeast"/>
      <w:jc w:val="both"/>
      <w:textAlignment w:val="baseline"/>
    </w:pPr>
    <w:rPr>
      <w:rFonts w:ascii="Times New Roman" w:eastAsia="Arial Unicode MS" w:hAnsi="Times New Roman" w:cs="Times New Roman"/>
      <w:bdr w:val="nil"/>
      <w:lang w:val="en-US" w:eastAsia="es-MX"/>
    </w:rPr>
  </w:style>
  <w:style w:type="paragraph" w:styleId="Ttulo2">
    <w:name w:val="heading 2"/>
    <w:basedOn w:val="Normal"/>
    <w:next w:val="Normal"/>
    <w:link w:val="Ttulo2Car"/>
    <w:unhideWhenUsed/>
    <w:qFormat/>
    <w:rsid w:val="00BD703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D703F"/>
    <w:rPr>
      <w:rFonts w:asciiTheme="majorHAnsi" w:eastAsiaTheme="majorEastAsia" w:hAnsiTheme="majorHAnsi" w:cstheme="majorBidi"/>
      <w:color w:val="2F5496" w:themeColor="accent1" w:themeShade="BF"/>
      <w:sz w:val="26"/>
      <w:szCs w:val="26"/>
      <w:bdr w:val="nil"/>
      <w:lang w:val="en-US" w:eastAsia="es-MX"/>
    </w:rPr>
  </w:style>
  <w:style w:type="character" w:styleId="Hipervnculo">
    <w:name w:val="Hyperlink"/>
    <w:uiPriority w:val="99"/>
    <w:rsid w:val="00BD703F"/>
    <w:rPr>
      <w:u w:val="single"/>
    </w:rPr>
  </w:style>
  <w:style w:type="paragraph" w:styleId="Piedepgina">
    <w:name w:val="footer"/>
    <w:link w:val="PiedepginaCar"/>
    <w:uiPriority w:val="99"/>
    <w:rsid w:val="00BD703F"/>
    <w:pPr>
      <w:widowControl w:val="0"/>
      <w:pBdr>
        <w:top w:val="nil"/>
        <w:left w:val="nil"/>
        <w:bottom w:val="nil"/>
        <w:right w:val="nil"/>
        <w:between w:val="nil"/>
        <w:bar w:val="nil"/>
      </w:pBdr>
      <w:tabs>
        <w:tab w:val="center" w:pos="4252"/>
        <w:tab w:val="right" w:pos="8504"/>
      </w:tabs>
      <w:adjustRightInd w:val="0"/>
      <w:jc w:val="both"/>
      <w:textAlignment w:val="baseline"/>
    </w:pPr>
    <w:rPr>
      <w:rFonts w:ascii="Times New Roman" w:eastAsia="Arial Unicode MS" w:hAnsi="Times New Roman" w:cs="Times New Roman"/>
      <w:color w:val="000000"/>
      <w:sz w:val="20"/>
      <w:szCs w:val="20"/>
      <w:u w:color="000000"/>
      <w:bdr w:val="nil"/>
      <w:lang w:val="en-US" w:eastAsia="es-MX"/>
    </w:rPr>
  </w:style>
  <w:style w:type="character" w:customStyle="1" w:styleId="PiedepginaCar">
    <w:name w:val="Pie de página Car"/>
    <w:basedOn w:val="Fuentedeprrafopredeter"/>
    <w:link w:val="Piedepgina"/>
    <w:uiPriority w:val="99"/>
    <w:rsid w:val="00BD703F"/>
    <w:rPr>
      <w:rFonts w:ascii="Times New Roman" w:eastAsia="Arial Unicode MS" w:hAnsi="Times New Roman" w:cs="Times New Roman"/>
      <w:color w:val="000000"/>
      <w:sz w:val="20"/>
      <w:szCs w:val="20"/>
      <w:u w:color="000000"/>
      <w:bdr w:val="nil"/>
      <w:lang w:val="en-US" w:eastAsia="es-MX"/>
    </w:rPr>
  </w:style>
  <w:style w:type="paragraph" w:styleId="Textonotapie">
    <w:name w:val="footnote text"/>
    <w:aliases w:val="Footnote Text Char Char Char,Footnote Text Char Char Char Char,Footnote Text Char Char Char Char Char,Footnote Text Char Char Char Char Char Char,Footnote Text Char Char Char Char Char1,Footnote Text Char Char Char Char1,f,fn,ft,nota,pie"/>
    <w:link w:val="TextonotapieCar"/>
    <w:uiPriority w:val="99"/>
    <w:qFormat/>
    <w:rsid w:val="00BD703F"/>
    <w:pPr>
      <w:widowControl w:val="0"/>
      <w:pBdr>
        <w:top w:val="nil"/>
        <w:left w:val="nil"/>
        <w:bottom w:val="nil"/>
        <w:right w:val="nil"/>
        <w:between w:val="nil"/>
        <w:bar w:val="nil"/>
      </w:pBdr>
      <w:adjustRightInd w:val="0"/>
      <w:jc w:val="both"/>
      <w:textAlignment w:val="baseline"/>
    </w:pPr>
    <w:rPr>
      <w:rFonts w:ascii="Times New Roman" w:eastAsia="Times New Roman" w:hAnsi="Times New Roman" w:cs="Times New Roman"/>
      <w:color w:val="000000"/>
      <w:sz w:val="20"/>
      <w:szCs w:val="20"/>
      <w:u w:color="000000"/>
      <w:bdr w:val="nil"/>
      <w:lang w:val="en-US" w:eastAsia="es-MX"/>
    </w:rPr>
  </w:style>
  <w:style w:type="character" w:customStyle="1" w:styleId="TextonotapieCar">
    <w:name w:val="Texto nota pie Car"/>
    <w:aliases w:val="Footnote Text Char Char Char Car,Footnote Text Char Char Char Char Car,Footnote Text Char Char Char Char Char Car,Footnote Text Char Char Char Char Char Char Car,Footnote Text Char Char Char Char Char1 Car,f Car,fn Car,ft Car,nota Car"/>
    <w:basedOn w:val="Fuentedeprrafopredeter"/>
    <w:link w:val="Textonotapie"/>
    <w:uiPriority w:val="99"/>
    <w:rsid w:val="00BD703F"/>
    <w:rPr>
      <w:rFonts w:ascii="Times New Roman" w:eastAsia="Times New Roman" w:hAnsi="Times New Roman" w:cs="Times New Roman"/>
      <w:color w:val="000000"/>
      <w:sz w:val="20"/>
      <w:szCs w:val="20"/>
      <w:u w:color="000000"/>
      <w:bdr w:val="nil"/>
      <w:lang w:val="en-US" w:eastAsia="es-MX"/>
    </w:rPr>
  </w:style>
  <w:style w:type="character" w:styleId="Refdenotaalpie">
    <w:name w:val="footnote reference"/>
    <w:aliases w:val="16 Point,Footnote Reference Number,Footnote Reference_LVL6,Footnote Reference_LVL61,Footnote Reference_LVL62,Footnote Reference_LVL63,Footnote Reference_LVL64,Style 6,Superscript 6 Point,fr,ftref,referencia nota al pie,Знак сноски-FN"/>
    <w:basedOn w:val="Fuentedeprrafopredeter"/>
    <w:link w:val="FNRefeCharChar"/>
    <w:uiPriority w:val="99"/>
    <w:unhideWhenUsed/>
    <w:qFormat/>
    <w:rsid w:val="00BD703F"/>
    <w:rPr>
      <w:vertAlign w:val="superscript"/>
    </w:rPr>
  </w:style>
  <w:style w:type="paragraph" w:styleId="Encabezado">
    <w:name w:val="header"/>
    <w:basedOn w:val="Normal"/>
    <w:link w:val="EncabezadoCar"/>
    <w:uiPriority w:val="99"/>
    <w:unhideWhenUsed/>
    <w:rsid w:val="00BD703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D703F"/>
    <w:rPr>
      <w:rFonts w:ascii="Times New Roman" w:eastAsia="Arial Unicode MS" w:hAnsi="Times New Roman" w:cs="Times New Roman"/>
      <w:bdr w:val="nil"/>
      <w:lang w:val="en-US" w:eastAsia="es-MX"/>
    </w:rPr>
  </w:style>
  <w:style w:type="paragraph" w:customStyle="1" w:styleId="FNRefeCharChar">
    <w:name w:val="FNRefe Char Char"/>
    <w:aliases w:val="BVI fnr Car Car Car Car Char Char Char Char Char,BVI fnr Car Car Char Char Char,BVI fnr Char Char Char,BVI fnr Car Char Char Char,BVI fnr Char Char, BVI fnr Car Car Car Car Char Char Char Char Char, BVI fnr Car Car Char Char Char"/>
    <w:basedOn w:val="Normal"/>
    <w:link w:val="Refdenotaalpie"/>
    <w:uiPriority w:val="99"/>
    <w:rsid w:val="00BD703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lang w:val="es-MX" w:eastAsia="en-US"/>
    </w:rPr>
  </w:style>
  <w:style w:type="paragraph" w:styleId="Textodeglobo">
    <w:name w:val="Balloon Text"/>
    <w:basedOn w:val="Normal"/>
    <w:link w:val="TextodegloboCar"/>
    <w:uiPriority w:val="99"/>
    <w:semiHidden/>
    <w:unhideWhenUsed/>
    <w:rsid w:val="00BD703F"/>
    <w:pPr>
      <w:spacing w:line="240" w:lineRule="auto"/>
    </w:pPr>
    <w:rPr>
      <w:sz w:val="18"/>
      <w:szCs w:val="18"/>
    </w:rPr>
  </w:style>
  <w:style w:type="character" w:customStyle="1" w:styleId="TextodegloboCar">
    <w:name w:val="Texto de globo Car"/>
    <w:basedOn w:val="Fuentedeprrafopredeter"/>
    <w:link w:val="Textodeglobo"/>
    <w:uiPriority w:val="99"/>
    <w:semiHidden/>
    <w:rsid w:val="00BD703F"/>
    <w:rPr>
      <w:rFonts w:ascii="Times New Roman" w:eastAsia="Arial Unicode MS" w:hAnsi="Times New Roman" w:cs="Times New Roman"/>
      <w:sz w:val="18"/>
      <w:szCs w:val="18"/>
      <w:bdr w:val="nil"/>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of.gob.mx/nota_detalle.php?codigo=5434315&amp;fecha=25/04/2016" TargetMode="External"/><Relationship Id="rId3" Type="http://schemas.openxmlformats.org/officeDocument/2006/relationships/hyperlink" Target="https://www.plataformadetransparencia.org.mx/web/guest/inicio" TargetMode="External"/><Relationship Id="rId7" Type="http://schemas.openxmlformats.org/officeDocument/2006/relationships/hyperlink" Target="https://sidec.funcionpublica.gob.mx/" TargetMode="External"/><Relationship Id="rId2" Type="http://schemas.openxmlformats.org/officeDocument/2006/relationships/hyperlink" Target="http://www.diputados.gob.mx/LeyesBiblio/marjur/marco/Reg_TAIPPDPCDCU_080518.pdf" TargetMode="External"/><Relationship Id="rId1" Type="http://schemas.openxmlformats.org/officeDocument/2006/relationships/hyperlink" Target="http://www.diputados.gob.mx/LeyesBiblio/pdf/LFTAIP_270117.pdf" TargetMode="External"/><Relationship Id="rId6" Type="http://schemas.openxmlformats.org/officeDocument/2006/relationships/hyperlink" Target="https://sidac.presidencia.gob.mx/consulta" TargetMode="External"/><Relationship Id="rId5" Type="http://schemas.openxmlformats.org/officeDocument/2006/relationships/hyperlink" Target="https://ts.sct.gob.mx/normatecaNew/wp-content/uploads/2016/04/Reglas_para_el_tramite.pdf" TargetMode="External"/><Relationship Id="rId4" Type="http://schemas.openxmlformats.org/officeDocument/2006/relationships/hyperlink" Target="https://www.gob.mx/aten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3252</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Eme Pinto Piña</dc:creator>
  <cp:keywords/>
  <dc:description/>
  <cp:lastModifiedBy>Ingrid Eme Pinto Piña</cp:lastModifiedBy>
  <cp:revision>1</cp:revision>
  <dcterms:created xsi:type="dcterms:W3CDTF">2020-04-27T16:34:00Z</dcterms:created>
  <dcterms:modified xsi:type="dcterms:W3CDTF">2020-04-27T16:42:00Z</dcterms:modified>
</cp:coreProperties>
</file>