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444C3" w14:textId="77777777" w:rsidR="003E6FB3" w:rsidRDefault="003E6FB3" w:rsidP="003544F0">
      <w:pPr>
        <w:ind w:left="708" w:hanging="708"/>
        <w:jc w:val="center"/>
        <w:rPr>
          <w:rFonts w:ascii="Soberana Sans Light" w:hAnsi="Soberana Sans Light"/>
          <w:b/>
          <w:szCs w:val="24"/>
        </w:rPr>
      </w:pPr>
      <w:r>
        <w:rPr>
          <w:rFonts w:ascii="Soberana Sans Light" w:hAnsi="Soberana Sans Light"/>
          <w:b/>
          <w:noProof/>
          <w:szCs w:val="24"/>
        </w:rPr>
        <w:drawing>
          <wp:inline distT="0" distB="0" distL="0" distR="0" wp14:anchorId="469CEF82" wp14:editId="0D9D15DD">
            <wp:extent cx="1524000" cy="1938867"/>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vertical_color.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938867"/>
                    </a:xfrm>
                    <a:prstGeom prst="rect">
                      <a:avLst/>
                    </a:prstGeom>
                  </pic:spPr>
                </pic:pic>
              </a:graphicData>
            </a:graphic>
          </wp:inline>
        </w:drawing>
      </w:r>
    </w:p>
    <w:p w14:paraId="0DFEC209" w14:textId="77777777" w:rsidR="003E6FB3" w:rsidRDefault="003E6FB3" w:rsidP="003E6FB3">
      <w:pPr>
        <w:rPr>
          <w:rFonts w:ascii="Soberana Sans Light" w:hAnsi="Soberana Sans Light"/>
          <w:b/>
          <w:szCs w:val="24"/>
        </w:rPr>
      </w:pPr>
    </w:p>
    <w:p w14:paraId="01669AE8" w14:textId="77777777" w:rsidR="003E6FB3" w:rsidRDefault="003E6FB3" w:rsidP="003E6FB3">
      <w:pPr>
        <w:rPr>
          <w:rFonts w:ascii="Soberana Sans Light" w:hAnsi="Soberana Sans Light"/>
          <w:b/>
          <w:szCs w:val="24"/>
        </w:rPr>
      </w:pPr>
    </w:p>
    <w:p w14:paraId="58515C45" w14:textId="77777777" w:rsidR="003E6FB3" w:rsidRDefault="003E6FB3" w:rsidP="003E6FB3">
      <w:pPr>
        <w:rPr>
          <w:rFonts w:ascii="Soberana Sans Light" w:hAnsi="Soberana Sans Light"/>
          <w:b/>
          <w:szCs w:val="24"/>
        </w:rPr>
      </w:pPr>
    </w:p>
    <w:p w14:paraId="444DA06E" w14:textId="77777777" w:rsidR="003E6FB3" w:rsidRDefault="003E6FB3" w:rsidP="003E6FB3">
      <w:pPr>
        <w:rPr>
          <w:rFonts w:ascii="Soberana Sans Light" w:hAnsi="Soberana Sans Light"/>
          <w:b/>
          <w:szCs w:val="24"/>
        </w:rPr>
      </w:pPr>
    </w:p>
    <w:p w14:paraId="71106756" w14:textId="77777777" w:rsidR="003E6FB3" w:rsidRDefault="003E6FB3" w:rsidP="003E6FB3">
      <w:pPr>
        <w:rPr>
          <w:rFonts w:ascii="Soberana Sans Light" w:hAnsi="Soberana Sans Light"/>
          <w:b/>
          <w:szCs w:val="24"/>
        </w:rPr>
      </w:pPr>
    </w:p>
    <w:p w14:paraId="1D59441B" w14:textId="77777777" w:rsidR="003E6FB3" w:rsidRDefault="003E6FB3" w:rsidP="003E6FB3">
      <w:pPr>
        <w:rPr>
          <w:rFonts w:ascii="Soberana Sans Light" w:hAnsi="Soberana Sans Light"/>
          <w:b/>
          <w:szCs w:val="24"/>
        </w:rPr>
      </w:pPr>
    </w:p>
    <w:p w14:paraId="04968F03" w14:textId="77777777" w:rsidR="003E6FB3" w:rsidRDefault="00EB5E80" w:rsidP="003E6FB3">
      <w:pPr>
        <w:shd w:val="clear" w:color="auto" w:fill="C00000"/>
        <w:jc w:val="center"/>
        <w:rPr>
          <w:rFonts w:ascii="Trajan Pro" w:hAnsi="Trajan Pro"/>
          <w:sz w:val="36"/>
          <w:szCs w:val="24"/>
        </w:rPr>
      </w:pPr>
      <w:r>
        <w:rPr>
          <w:rFonts w:ascii="Trajan Pro" w:hAnsi="Trajan Pro"/>
          <w:sz w:val="36"/>
          <w:szCs w:val="24"/>
        </w:rPr>
        <w:t>Diagnósticos</w:t>
      </w:r>
      <w:r w:rsidR="0099621A">
        <w:rPr>
          <w:rFonts w:ascii="Trajan Pro" w:hAnsi="Trajan Pro"/>
          <w:sz w:val="36"/>
          <w:szCs w:val="24"/>
        </w:rPr>
        <w:t xml:space="preserve"> y e</w:t>
      </w:r>
      <w:r w:rsidR="001A6049">
        <w:rPr>
          <w:rFonts w:ascii="Trajan Pro" w:hAnsi="Trajan Pro"/>
          <w:sz w:val="36"/>
          <w:szCs w:val="24"/>
        </w:rPr>
        <w:t xml:space="preserve">strategias para la mejora del reporte sobre </w:t>
      </w:r>
      <w:r>
        <w:rPr>
          <w:rFonts w:ascii="Trajan Pro" w:hAnsi="Trajan Pro"/>
          <w:sz w:val="36"/>
          <w:szCs w:val="24"/>
        </w:rPr>
        <w:t>los</w:t>
      </w:r>
      <w:r w:rsidR="003E6FB3" w:rsidRPr="003E6FB3">
        <w:rPr>
          <w:rFonts w:ascii="Trajan Pro" w:hAnsi="Trajan Pro"/>
          <w:sz w:val="36"/>
          <w:szCs w:val="24"/>
        </w:rPr>
        <w:t xml:space="preserve"> recursos federales transferidos</w:t>
      </w:r>
      <w:r>
        <w:rPr>
          <w:rFonts w:ascii="Trajan Pro" w:hAnsi="Trajan Pro"/>
          <w:sz w:val="36"/>
          <w:szCs w:val="24"/>
        </w:rPr>
        <w:t>.</w:t>
      </w:r>
    </w:p>
    <w:p w14:paraId="1EF91958" w14:textId="77777777" w:rsidR="003E6FB3" w:rsidRDefault="003E6FB3" w:rsidP="003E6FB3">
      <w:pPr>
        <w:jc w:val="center"/>
        <w:rPr>
          <w:rFonts w:ascii="Trajan Pro" w:hAnsi="Trajan Pro"/>
          <w:sz w:val="36"/>
          <w:szCs w:val="24"/>
        </w:rPr>
      </w:pPr>
    </w:p>
    <w:p w14:paraId="554E01BC" w14:textId="77777777" w:rsidR="003E6FB3" w:rsidRDefault="003E6FB3" w:rsidP="003E6FB3">
      <w:pPr>
        <w:jc w:val="center"/>
        <w:rPr>
          <w:rFonts w:ascii="Trajan Pro" w:hAnsi="Trajan Pro"/>
          <w:sz w:val="36"/>
          <w:szCs w:val="24"/>
        </w:rPr>
      </w:pPr>
    </w:p>
    <w:p w14:paraId="2CA56F0D" w14:textId="77777777" w:rsidR="003E6FB3" w:rsidRDefault="003E6FB3" w:rsidP="003E6FB3">
      <w:pPr>
        <w:jc w:val="center"/>
        <w:rPr>
          <w:rFonts w:ascii="Trajan Pro" w:hAnsi="Trajan Pro"/>
          <w:sz w:val="36"/>
          <w:szCs w:val="24"/>
        </w:rPr>
      </w:pPr>
    </w:p>
    <w:p w14:paraId="61A212D2" w14:textId="77777777" w:rsidR="003E6FB3" w:rsidRDefault="003E6FB3" w:rsidP="003E6FB3">
      <w:pPr>
        <w:jc w:val="center"/>
        <w:rPr>
          <w:rFonts w:ascii="Trajan Pro" w:hAnsi="Trajan Pro"/>
          <w:sz w:val="36"/>
          <w:szCs w:val="24"/>
        </w:rPr>
      </w:pPr>
    </w:p>
    <w:p w14:paraId="21B8FEF9" w14:textId="77777777" w:rsidR="003E6FB3" w:rsidRPr="004F2A29" w:rsidRDefault="003E6FB3" w:rsidP="003E6FB3">
      <w:pPr>
        <w:jc w:val="center"/>
        <w:rPr>
          <w:rFonts w:ascii="Soberana Sans Light" w:hAnsi="Soberana Sans Light"/>
          <w:b/>
          <w:sz w:val="32"/>
          <w:szCs w:val="24"/>
        </w:rPr>
      </w:pPr>
      <w:r w:rsidRPr="004F2A29">
        <w:rPr>
          <w:rFonts w:ascii="Soberana Sans Light" w:hAnsi="Soberana Sans Light"/>
          <w:b/>
          <w:sz w:val="32"/>
          <w:szCs w:val="24"/>
        </w:rPr>
        <w:lastRenderedPageBreak/>
        <w:t>Unidad de Evaluación del Desempeño</w:t>
      </w:r>
    </w:p>
    <w:p w14:paraId="511A5386" w14:textId="77777777" w:rsidR="003E6FB3" w:rsidRDefault="0099621A" w:rsidP="003E6FB3">
      <w:pPr>
        <w:jc w:val="center"/>
        <w:rPr>
          <w:rFonts w:ascii="Soberana Sans Light" w:hAnsi="Soberana Sans Light"/>
          <w:szCs w:val="24"/>
        </w:rPr>
      </w:pPr>
      <w:r>
        <w:rPr>
          <w:rFonts w:ascii="Soberana Sans Light" w:hAnsi="Soberana Sans Light"/>
          <w:szCs w:val="24"/>
        </w:rPr>
        <w:t>201</w:t>
      </w:r>
      <w:r w:rsidR="007326AB">
        <w:rPr>
          <w:rFonts w:ascii="Soberana Sans Light" w:hAnsi="Soberana Sans Light"/>
          <w:szCs w:val="24"/>
        </w:rPr>
        <w:t>6</w:t>
      </w:r>
    </w:p>
    <w:bookmarkStart w:id="0" w:name="_Toc398049217" w:displacedByCustomXml="next"/>
    <w:sdt>
      <w:sdtPr>
        <w:rPr>
          <w:rFonts w:ascii="Soberana Sans" w:eastAsiaTheme="minorEastAsia" w:hAnsi="Soberana Sans" w:cstheme="minorBidi"/>
          <w:b w:val="0"/>
          <w:bCs w:val="0"/>
          <w:color w:val="auto"/>
          <w:sz w:val="22"/>
          <w:szCs w:val="22"/>
          <w:lang w:val="es-ES"/>
        </w:rPr>
        <w:id w:val="-933129467"/>
        <w:docPartObj>
          <w:docPartGallery w:val="Table of Contents"/>
          <w:docPartUnique/>
        </w:docPartObj>
      </w:sdtPr>
      <w:sdtEndPr/>
      <w:sdtContent>
        <w:p w14:paraId="7A0316F0" w14:textId="77777777" w:rsidR="001D2EBA" w:rsidRPr="00232D50" w:rsidRDefault="001D2EBA" w:rsidP="00A10A6A">
          <w:pPr>
            <w:pStyle w:val="TtulodeTDC"/>
            <w:numPr>
              <w:ilvl w:val="0"/>
              <w:numId w:val="0"/>
            </w:numPr>
            <w:spacing w:before="0" w:line="276" w:lineRule="auto"/>
            <w:rPr>
              <w:rFonts w:ascii="Soberana Sans Light" w:eastAsiaTheme="minorEastAsia" w:hAnsi="Soberana Sans Light" w:cstheme="minorBidi"/>
              <w:bCs w:val="0"/>
              <w:color w:val="auto"/>
              <w:sz w:val="24"/>
              <w:szCs w:val="24"/>
            </w:rPr>
          </w:pPr>
          <w:r w:rsidRPr="00232D50">
            <w:rPr>
              <w:rFonts w:ascii="Soberana Sans Light" w:eastAsiaTheme="minorEastAsia" w:hAnsi="Soberana Sans Light" w:cstheme="minorBidi"/>
              <w:bCs w:val="0"/>
              <w:color w:val="auto"/>
              <w:sz w:val="24"/>
              <w:szCs w:val="24"/>
            </w:rPr>
            <w:t>Contenido</w:t>
          </w:r>
        </w:p>
        <w:bookmarkStart w:id="1" w:name="_GoBack"/>
        <w:bookmarkEnd w:id="1"/>
        <w:p w14:paraId="056DD5C5" w14:textId="77777777" w:rsidR="00F74C62" w:rsidRDefault="001D2EBA">
          <w:pPr>
            <w:pStyle w:val="TDC1"/>
            <w:tabs>
              <w:tab w:val="right" w:leader="dot" w:pos="8828"/>
            </w:tabs>
            <w:rPr>
              <w:rFonts w:asciiTheme="minorHAnsi" w:hAnsiTheme="minorHAnsi"/>
              <w:noProof/>
            </w:rPr>
          </w:pPr>
          <w:r w:rsidRPr="00102584">
            <w:rPr>
              <w:rStyle w:val="Hipervnculo"/>
              <w:noProof/>
            </w:rPr>
            <w:fldChar w:fldCharType="begin"/>
          </w:r>
          <w:r w:rsidRPr="00102584">
            <w:rPr>
              <w:rStyle w:val="Hipervnculo"/>
              <w:noProof/>
            </w:rPr>
            <w:instrText xml:space="preserve"> TOC \o "1-3" \h \z \u </w:instrText>
          </w:r>
          <w:r w:rsidRPr="00102584">
            <w:rPr>
              <w:rStyle w:val="Hipervnculo"/>
              <w:noProof/>
            </w:rPr>
            <w:fldChar w:fldCharType="separate"/>
          </w:r>
          <w:hyperlink w:anchor="_Toc447904075" w:history="1">
            <w:r w:rsidR="00F74C62" w:rsidRPr="00602009">
              <w:rPr>
                <w:rStyle w:val="Hipervnculo"/>
                <w:noProof/>
              </w:rPr>
              <w:t>Siglas y acrónimos</w:t>
            </w:r>
            <w:r w:rsidR="00F74C62">
              <w:rPr>
                <w:noProof/>
                <w:webHidden/>
              </w:rPr>
              <w:tab/>
            </w:r>
            <w:r w:rsidR="00F74C62">
              <w:rPr>
                <w:noProof/>
                <w:webHidden/>
              </w:rPr>
              <w:fldChar w:fldCharType="begin"/>
            </w:r>
            <w:r w:rsidR="00F74C62">
              <w:rPr>
                <w:noProof/>
                <w:webHidden/>
              </w:rPr>
              <w:instrText xml:space="preserve"> PAGEREF _Toc447904075 \h </w:instrText>
            </w:r>
            <w:r w:rsidR="00F74C62">
              <w:rPr>
                <w:noProof/>
                <w:webHidden/>
              </w:rPr>
            </w:r>
            <w:r w:rsidR="00F74C62">
              <w:rPr>
                <w:noProof/>
                <w:webHidden/>
              </w:rPr>
              <w:fldChar w:fldCharType="separate"/>
            </w:r>
            <w:r w:rsidR="00F74C62">
              <w:rPr>
                <w:noProof/>
                <w:webHidden/>
              </w:rPr>
              <w:t>2</w:t>
            </w:r>
            <w:r w:rsidR="00F74C62">
              <w:rPr>
                <w:noProof/>
                <w:webHidden/>
              </w:rPr>
              <w:fldChar w:fldCharType="end"/>
            </w:r>
          </w:hyperlink>
        </w:p>
        <w:p w14:paraId="61AE9BB0" w14:textId="77777777" w:rsidR="00F74C62" w:rsidRDefault="00F74C62">
          <w:pPr>
            <w:pStyle w:val="TDC1"/>
            <w:tabs>
              <w:tab w:val="left" w:pos="440"/>
              <w:tab w:val="right" w:leader="dot" w:pos="8828"/>
            </w:tabs>
            <w:rPr>
              <w:rFonts w:asciiTheme="minorHAnsi" w:hAnsiTheme="minorHAnsi"/>
              <w:noProof/>
            </w:rPr>
          </w:pPr>
          <w:hyperlink w:anchor="_Toc447904076" w:history="1">
            <w:r w:rsidRPr="00602009">
              <w:rPr>
                <w:rStyle w:val="Hipervnculo"/>
                <w:noProof/>
              </w:rPr>
              <w:t>I.</w:t>
            </w:r>
            <w:r>
              <w:rPr>
                <w:rFonts w:asciiTheme="minorHAnsi" w:hAnsiTheme="minorHAnsi"/>
                <w:noProof/>
              </w:rPr>
              <w:tab/>
            </w:r>
            <w:r w:rsidRPr="00602009">
              <w:rPr>
                <w:rStyle w:val="Hipervnculo"/>
                <w:noProof/>
              </w:rPr>
              <w:t>Antecedentes</w:t>
            </w:r>
            <w:r>
              <w:rPr>
                <w:noProof/>
                <w:webHidden/>
              </w:rPr>
              <w:tab/>
            </w:r>
            <w:r>
              <w:rPr>
                <w:noProof/>
                <w:webHidden/>
              </w:rPr>
              <w:fldChar w:fldCharType="begin"/>
            </w:r>
            <w:r>
              <w:rPr>
                <w:noProof/>
                <w:webHidden/>
              </w:rPr>
              <w:instrText xml:space="preserve"> PAGEREF _Toc447904076 \h </w:instrText>
            </w:r>
            <w:r>
              <w:rPr>
                <w:noProof/>
                <w:webHidden/>
              </w:rPr>
            </w:r>
            <w:r>
              <w:rPr>
                <w:noProof/>
                <w:webHidden/>
              </w:rPr>
              <w:fldChar w:fldCharType="separate"/>
            </w:r>
            <w:r>
              <w:rPr>
                <w:noProof/>
                <w:webHidden/>
              </w:rPr>
              <w:t>3</w:t>
            </w:r>
            <w:r>
              <w:rPr>
                <w:noProof/>
                <w:webHidden/>
              </w:rPr>
              <w:fldChar w:fldCharType="end"/>
            </w:r>
          </w:hyperlink>
        </w:p>
        <w:p w14:paraId="0297A6D4" w14:textId="77777777" w:rsidR="00F74C62" w:rsidRDefault="00F74C62">
          <w:pPr>
            <w:pStyle w:val="TDC1"/>
            <w:tabs>
              <w:tab w:val="left" w:pos="440"/>
              <w:tab w:val="right" w:leader="dot" w:pos="8828"/>
            </w:tabs>
            <w:rPr>
              <w:rFonts w:asciiTheme="minorHAnsi" w:hAnsiTheme="minorHAnsi"/>
              <w:noProof/>
            </w:rPr>
          </w:pPr>
          <w:hyperlink w:anchor="_Toc447904077" w:history="1">
            <w:r w:rsidRPr="00602009">
              <w:rPr>
                <w:rStyle w:val="Hipervnculo"/>
                <w:noProof/>
              </w:rPr>
              <w:t>II.</w:t>
            </w:r>
            <w:r>
              <w:rPr>
                <w:rFonts w:asciiTheme="minorHAnsi" w:hAnsiTheme="minorHAnsi"/>
                <w:noProof/>
              </w:rPr>
              <w:tab/>
            </w:r>
            <w:r w:rsidRPr="00602009">
              <w:rPr>
                <w:rStyle w:val="Hipervnculo"/>
                <w:noProof/>
              </w:rPr>
              <w:t>Diagnóstico</w:t>
            </w:r>
            <w:r>
              <w:rPr>
                <w:noProof/>
                <w:webHidden/>
              </w:rPr>
              <w:tab/>
            </w:r>
            <w:r>
              <w:rPr>
                <w:noProof/>
                <w:webHidden/>
              </w:rPr>
              <w:fldChar w:fldCharType="begin"/>
            </w:r>
            <w:r>
              <w:rPr>
                <w:noProof/>
                <w:webHidden/>
              </w:rPr>
              <w:instrText xml:space="preserve"> PAGEREF _Toc447904077 \h </w:instrText>
            </w:r>
            <w:r>
              <w:rPr>
                <w:noProof/>
                <w:webHidden/>
              </w:rPr>
            </w:r>
            <w:r>
              <w:rPr>
                <w:noProof/>
                <w:webHidden/>
              </w:rPr>
              <w:fldChar w:fldCharType="separate"/>
            </w:r>
            <w:r>
              <w:rPr>
                <w:noProof/>
                <w:webHidden/>
              </w:rPr>
              <w:t>6</w:t>
            </w:r>
            <w:r>
              <w:rPr>
                <w:noProof/>
                <w:webHidden/>
              </w:rPr>
              <w:fldChar w:fldCharType="end"/>
            </w:r>
          </w:hyperlink>
        </w:p>
        <w:p w14:paraId="0EE7B81C" w14:textId="77777777" w:rsidR="00F74C62" w:rsidRDefault="00F74C62">
          <w:pPr>
            <w:pStyle w:val="TDC2"/>
            <w:tabs>
              <w:tab w:val="left" w:pos="880"/>
              <w:tab w:val="right" w:leader="dot" w:pos="8828"/>
            </w:tabs>
            <w:rPr>
              <w:rFonts w:asciiTheme="minorHAnsi" w:hAnsiTheme="minorHAnsi"/>
              <w:noProof/>
            </w:rPr>
          </w:pPr>
          <w:hyperlink w:anchor="_Toc447904078" w:history="1">
            <w:r w:rsidRPr="00602009">
              <w:rPr>
                <w:rStyle w:val="Hipervnculo"/>
                <w:noProof/>
              </w:rPr>
              <w:t>II.1</w:t>
            </w:r>
            <w:r>
              <w:rPr>
                <w:rFonts w:asciiTheme="minorHAnsi" w:hAnsiTheme="minorHAnsi"/>
                <w:noProof/>
              </w:rPr>
              <w:tab/>
            </w:r>
            <w:r w:rsidRPr="00602009">
              <w:rPr>
                <w:rStyle w:val="Hipervnculo"/>
                <w:noProof/>
              </w:rPr>
              <w:t>Tendencias en el reporte a nivel nacional.</w:t>
            </w:r>
            <w:r>
              <w:rPr>
                <w:noProof/>
                <w:webHidden/>
              </w:rPr>
              <w:tab/>
            </w:r>
            <w:r>
              <w:rPr>
                <w:noProof/>
                <w:webHidden/>
              </w:rPr>
              <w:fldChar w:fldCharType="begin"/>
            </w:r>
            <w:r>
              <w:rPr>
                <w:noProof/>
                <w:webHidden/>
              </w:rPr>
              <w:instrText xml:space="preserve"> PAGEREF _Toc447904078 \h </w:instrText>
            </w:r>
            <w:r>
              <w:rPr>
                <w:noProof/>
                <w:webHidden/>
              </w:rPr>
            </w:r>
            <w:r>
              <w:rPr>
                <w:noProof/>
                <w:webHidden/>
              </w:rPr>
              <w:fldChar w:fldCharType="separate"/>
            </w:r>
            <w:r>
              <w:rPr>
                <w:noProof/>
                <w:webHidden/>
              </w:rPr>
              <w:t>6</w:t>
            </w:r>
            <w:r>
              <w:rPr>
                <w:noProof/>
                <w:webHidden/>
              </w:rPr>
              <w:fldChar w:fldCharType="end"/>
            </w:r>
          </w:hyperlink>
        </w:p>
        <w:p w14:paraId="6A8EBA47" w14:textId="77777777" w:rsidR="00F74C62" w:rsidRDefault="00F74C62">
          <w:pPr>
            <w:pStyle w:val="TDC3"/>
            <w:tabs>
              <w:tab w:val="left" w:pos="1320"/>
              <w:tab w:val="right" w:leader="dot" w:pos="8828"/>
            </w:tabs>
            <w:rPr>
              <w:rFonts w:asciiTheme="minorHAnsi" w:hAnsiTheme="minorHAnsi"/>
              <w:noProof/>
            </w:rPr>
          </w:pPr>
          <w:hyperlink w:anchor="_Toc447904079" w:history="1">
            <w:r w:rsidRPr="00602009">
              <w:rPr>
                <w:rStyle w:val="Hipervnculo"/>
                <w:noProof/>
              </w:rPr>
              <w:t>II.1.A</w:t>
            </w:r>
            <w:r>
              <w:rPr>
                <w:rFonts w:asciiTheme="minorHAnsi" w:hAnsiTheme="minorHAnsi"/>
                <w:noProof/>
              </w:rPr>
              <w:tab/>
            </w:r>
            <w:r w:rsidRPr="00602009">
              <w:rPr>
                <w:rStyle w:val="Hipervnculo"/>
                <w:noProof/>
              </w:rPr>
              <w:t>Efectos del número de municipios en la entidad federativa</w:t>
            </w:r>
            <w:r>
              <w:rPr>
                <w:noProof/>
                <w:webHidden/>
              </w:rPr>
              <w:tab/>
            </w:r>
            <w:r>
              <w:rPr>
                <w:noProof/>
                <w:webHidden/>
              </w:rPr>
              <w:fldChar w:fldCharType="begin"/>
            </w:r>
            <w:r>
              <w:rPr>
                <w:noProof/>
                <w:webHidden/>
              </w:rPr>
              <w:instrText xml:space="preserve"> PAGEREF _Toc447904079 \h </w:instrText>
            </w:r>
            <w:r>
              <w:rPr>
                <w:noProof/>
                <w:webHidden/>
              </w:rPr>
            </w:r>
            <w:r>
              <w:rPr>
                <w:noProof/>
                <w:webHidden/>
              </w:rPr>
              <w:fldChar w:fldCharType="separate"/>
            </w:r>
            <w:r>
              <w:rPr>
                <w:noProof/>
                <w:webHidden/>
              </w:rPr>
              <w:t>10</w:t>
            </w:r>
            <w:r>
              <w:rPr>
                <w:noProof/>
                <w:webHidden/>
              </w:rPr>
              <w:fldChar w:fldCharType="end"/>
            </w:r>
          </w:hyperlink>
        </w:p>
        <w:p w14:paraId="008D17CE" w14:textId="77777777" w:rsidR="00F74C62" w:rsidRDefault="00F74C62">
          <w:pPr>
            <w:pStyle w:val="TDC3"/>
            <w:tabs>
              <w:tab w:val="left" w:pos="1320"/>
              <w:tab w:val="right" w:leader="dot" w:pos="8828"/>
            </w:tabs>
            <w:rPr>
              <w:rFonts w:asciiTheme="minorHAnsi" w:hAnsiTheme="minorHAnsi"/>
              <w:noProof/>
            </w:rPr>
          </w:pPr>
          <w:hyperlink w:anchor="_Toc447904080" w:history="1">
            <w:r w:rsidRPr="00602009">
              <w:rPr>
                <w:rStyle w:val="Hipervnculo"/>
                <w:noProof/>
              </w:rPr>
              <w:t>II.1.B</w:t>
            </w:r>
            <w:r>
              <w:rPr>
                <w:rFonts w:asciiTheme="minorHAnsi" w:hAnsiTheme="minorHAnsi"/>
                <w:noProof/>
              </w:rPr>
              <w:tab/>
            </w:r>
            <w:r w:rsidRPr="00602009">
              <w:rPr>
                <w:rStyle w:val="Hipervnculo"/>
                <w:noProof/>
              </w:rPr>
              <w:t>Efectos de la disponibilidad tecnológica</w:t>
            </w:r>
            <w:r>
              <w:rPr>
                <w:noProof/>
                <w:webHidden/>
              </w:rPr>
              <w:tab/>
            </w:r>
            <w:r>
              <w:rPr>
                <w:noProof/>
                <w:webHidden/>
              </w:rPr>
              <w:fldChar w:fldCharType="begin"/>
            </w:r>
            <w:r>
              <w:rPr>
                <w:noProof/>
                <w:webHidden/>
              </w:rPr>
              <w:instrText xml:space="preserve"> PAGEREF _Toc447904080 \h </w:instrText>
            </w:r>
            <w:r>
              <w:rPr>
                <w:noProof/>
                <w:webHidden/>
              </w:rPr>
            </w:r>
            <w:r>
              <w:rPr>
                <w:noProof/>
                <w:webHidden/>
              </w:rPr>
              <w:fldChar w:fldCharType="separate"/>
            </w:r>
            <w:r>
              <w:rPr>
                <w:noProof/>
                <w:webHidden/>
              </w:rPr>
              <w:t>12</w:t>
            </w:r>
            <w:r>
              <w:rPr>
                <w:noProof/>
                <w:webHidden/>
              </w:rPr>
              <w:fldChar w:fldCharType="end"/>
            </w:r>
          </w:hyperlink>
        </w:p>
        <w:p w14:paraId="3FD6DD6D" w14:textId="77777777" w:rsidR="00F74C62" w:rsidRDefault="00F74C62">
          <w:pPr>
            <w:pStyle w:val="TDC3"/>
            <w:tabs>
              <w:tab w:val="left" w:pos="1320"/>
              <w:tab w:val="right" w:leader="dot" w:pos="8828"/>
            </w:tabs>
            <w:rPr>
              <w:rFonts w:asciiTheme="minorHAnsi" w:hAnsiTheme="minorHAnsi"/>
              <w:noProof/>
            </w:rPr>
          </w:pPr>
          <w:hyperlink w:anchor="_Toc447904081" w:history="1">
            <w:r w:rsidRPr="00602009">
              <w:rPr>
                <w:rStyle w:val="Hipervnculo"/>
                <w:noProof/>
              </w:rPr>
              <w:t>II.1.C</w:t>
            </w:r>
            <w:r>
              <w:rPr>
                <w:rFonts w:asciiTheme="minorHAnsi" w:hAnsiTheme="minorHAnsi"/>
                <w:noProof/>
              </w:rPr>
              <w:tab/>
            </w:r>
            <w:r w:rsidRPr="00602009">
              <w:rPr>
                <w:rStyle w:val="Hipervnculo"/>
                <w:noProof/>
              </w:rPr>
              <w:t>Efectos de las transiciones electorales</w:t>
            </w:r>
            <w:r>
              <w:rPr>
                <w:noProof/>
                <w:webHidden/>
              </w:rPr>
              <w:tab/>
            </w:r>
            <w:r>
              <w:rPr>
                <w:noProof/>
                <w:webHidden/>
              </w:rPr>
              <w:fldChar w:fldCharType="begin"/>
            </w:r>
            <w:r>
              <w:rPr>
                <w:noProof/>
                <w:webHidden/>
              </w:rPr>
              <w:instrText xml:space="preserve"> PAGEREF _Toc447904081 \h </w:instrText>
            </w:r>
            <w:r>
              <w:rPr>
                <w:noProof/>
                <w:webHidden/>
              </w:rPr>
            </w:r>
            <w:r>
              <w:rPr>
                <w:noProof/>
                <w:webHidden/>
              </w:rPr>
              <w:fldChar w:fldCharType="separate"/>
            </w:r>
            <w:r>
              <w:rPr>
                <w:noProof/>
                <w:webHidden/>
              </w:rPr>
              <w:t>15</w:t>
            </w:r>
            <w:r>
              <w:rPr>
                <w:noProof/>
                <w:webHidden/>
              </w:rPr>
              <w:fldChar w:fldCharType="end"/>
            </w:r>
          </w:hyperlink>
        </w:p>
        <w:p w14:paraId="30F98327" w14:textId="77777777" w:rsidR="00F74C62" w:rsidRDefault="00F74C62">
          <w:pPr>
            <w:pStyle w:val="TDC3"/>
            <w:tabs>
              <w:tab w:val="left" w:pos="1320"/>
              <w:tab w:val="right" w:leader="dot" w:pos="8828"/>
            </w:tabs>
            <w:rPr>
              <w:rFonts w:asciiTheme="minorHAnsi" w:hAnsiTheme="minorHAnsi"/>
              <w:noProof/>
            </w:rPr>
          </w:pPr>
          <w:hyperlink w:anchor="_Toc447904082" w:history="1">
            <w:r w:rsidRPr="00602009">
              <w:rPr>
                <w:rStyle w:val="Hipervnculo"/>
                <w:noProof/>
              </w:rPr>
              <w:t>II.1.D</w:t>
            </w:r>
            <w:r>
              <w:rPr>
                <w:rFonts w:asciiTheme="minorHAnsi" w:hAnsiTheme="minorHAnsi"/>
                <w:noProof/>
              </w:rPr>
              <w:tab/>
            </w:r>
            <w:r w:rsidRPr="00602009">
              <w:rPr>
                <w:rStyle w:val="Hipervnculo"/>
                <w:noProof/>
              </w:rPr>
              <w:t>Gestión de Proyectos</w:t>
            </w:r>
            <w:r>
              <w:rPr>
                <w:noProof/>
                <w:webHidden/>
              </w:rPr>
              <w:tab/>
            </w:r>
            <w:r>
              <w:rPr>
                <w:noProof/>
                <w:webHidden/>
              </w:rPr>
              <w:fldChar w:fldCharType="begin"/>
            </w:r>
            <w:r>
              <w:rPr>
                <w:noProof/>
                <w:webHidden/>
              </w:rPr>
              <w:instrText xml:space="preserve"> PAGEREF _Toc447904082 \h </w:instrText>
            </w:r>
            <w:r>
              <w:rPr>
                <w:noProof/>
                <w:webHidden/>
              </w:rPr>
            </w:r>
            <w:r>
              <w:rPr>
                <w:noProof/>
                <w:webHidden/>
              </w:rPr>
              <w:fldChar w:fldCharType="separate"/>
            </w:r>
            <w:r>
              <w:rPr>
                <w:noProof/>
                <w:webHidden/>
              </w:rPr>
              <w:t>19</w:t>
            </w:r>
            <w:r>
              <w:rPr>
                <w:noProof/>
                <w:webHidden/>
              </w:rPr>
              <w:fldChar w:fldCharType="end"/>
            </w:r>
          </w:hyperlink>
        </w:p>
        <w:p w14:paraId="6F294B54" w14:textId="77777777" w:rsidR="00F74C62" w:rsidRDefault="00F74C62">
          <w:pPr>
            <w:pStyle w:val="TDC3"/>
            <w:tabs>
              <w:tab w:val="left" w:pos="1320"/>
              <w:tab w:val="right" w:leader="dot" w:pos="8828"/>
            </w:tabs>
            <w:rPr>
              <w:rFonts w:asciiTheme="minorHAnsi" w:hAnsiTheme="minorHAnsi"/>
              <w:noProof/>
            </w:rPr>
          </w:pPr>
          <w:hyperlink w:anchor="_Toc447904083" w:history="1">
            <w:r w:rsidRPr="00602009">
              <w:rPr>
                <w:rStyle w:val="Hipervnculo"/>
                <w:noProof/>
              </w:rPr>
              <w:t>II.1.E</w:t>
            </w:r>
            <w:r>
              <w:rPr>
                <w:rFonts w:asciiTheme="minorHAnsi" w:hAnsiTheme="minorHAnsi"/>
                <w:noProof/>
              </w:rPr>
              <w:tab/>
            </w:r>
            <w:r w:rsidRPr="00602009">
              <w:rPr>
                <w:rStyle w:val="Hipervnculo"/>
                <w:noProof/>
              </w:rPr>
              <w:t>Avance Financiero</w:t>
            </w:r>
            <w:r>
              <w:rPr>
                <w:noProof/>
                <w:webHidden/>
              </w:rPr>
              <w:tab/>
            </w:r>
            <w:r>
              <w:rPr>
                <w:noProof/>
                <w:webHidden/>
              </w:rPr>
              <w:fldChar w:fldCharType="begin"/>
            </w:r>
            <w:r>
              <w:rPr>
                <w:noProof/>
                <w:webHidden/>
              </w:rPr>
              <w:instrText xml:space="preserve"> PAGEREF _Toc447904083 \h </w:instrText>
            </w:r>
            <w:r>
              <w:rPr>
                <w:noProof/>
                <w:webHidden/>
              </w:rPr>
            </w:r>
            <w:r>
              <w:rPr>
                <w:noProof/>
                <w:webHidden/>
              </w:rPr>
              <w:fldChar w:fldCharType="separate"/>
            </w:r>
            <w:r>
              <w:rPr>
                <w:noProof/>
                <w:webHidden/>
              </w:rPr>
              <w:t>22</w:t>
            </w:r>
            <w:r>
              <w:rPr>
                <w:noProof/>
                <w:webHidden/>
              </w:rPr>
              <w:fldChar w:fldCharType="end"/>
            </w:r>
          </w:hyperlink>
        </w:p>
        <w:p w14:paraId="1E3BBF64" w14:textId="77777777" w:rsidR="00F74C62" w:rsidRDefault="00F74C62">
          <w:pPr>
            <w:pStyle w:val="TDC3"/>
            <w:tabs>
              <w:tab w:val="left" w:pos="1320"/>
              <w:tab w:val="right" w:leader="dot" w:pos="8828"/>
            </w:tabs>
            <w:rPr>
              <w:rFonts w:asciiTheme="minorHAnsi" w:hAnsiTheme="minorHAnsi"/>
              <w:noProof/>
            </w:rPr>
          </w:pPr>
          <w:hyperlink w:anchor="_Toc447904084" w:history="1">
            <w:r w:rsidRPr="00602009">
              <w:rPr>
                <w:rStyle w:val="Hipervnculo"/>
                <w:noProof/>
              </w:rPr>
              <w:t>II.1.F</w:t>
            </w:r>
            <w:r>
              <w:rPr>
                <w:rFonts w:asciiTheme="minorHAnsi" w:hAnsiTheme="minorHAnsi"/>
                <w:noProof/>
              </w:rPr>
              <w:tab/>
            </w:r>
            <w:r w:rsidRPr="00602009">
              <w:rPr>
                <w:rStyle w:val="Hipervnculo"/>
                <w:noProof/>
              </w:rPr>
              <w:t>Indicadores</w:t>
            </w:r>
            <w:r>
              <w:rPr>
                <w:noProof/>
                <w:webHidden/>
              </w:rPr>
              <w:tab/>
            </w:r>
            <w:r>
              <w:rPr>
                <w:noProof/>
                <w:webHidden/>
              </w:rPr>
              <w:fldChar w:fldCharType="begin"/>
            </w:r>
            <w:r>
              <w:rPr>
                <w:noProof/>
                <w:webHidden/>
              </w:rPr>
              <w:instrText xml:space="preserve"> PAGEREF _Toc447904084 \h </w:instrText>
            </w:r>
            <w:r>
              <w:rPr>
                <w:noProof/>
                <w:webHidden/>
              </w:rPr>
            </w:r>
            <w:r>
              <w:rPr>
                <w:noProof/>
                <w:webHidden/>
              </w:rPr>
              <w:fldChar w:fldCharType="separate"/>
            </w:r>
            <w:r>
              <w:rPr>
                <w:noProof/>
                <w:webHidden/>
              </w:rPr>
              <w:t>25</w:t>
            </w:r>
            <w:r>
              <w:rPr>
                <w:noProof/>
                <w:webHidden/>
              </w:rPr>
              <w:fldChar w:fldCharType="end"/>
            </w:r>
          </w:hyperlink>
        </w:p>
        <w:p w14:paraId="752A2C20" w14:textId="77777777" w:rsidR="00F74C62" w:rsidRDefault="00F74C62">
          <w:pPr>
            <w:pStyle w:val="TDC3"/>
            <w:tabs>
              <w:tab w:val="left" w:pos="1320"/>
              <w:tab w:val="right" w:leader="dot" w:pos="8828"/>
            </w:tabs>
            <w:rPr>
              <w:rFonts w:asciiTheme="minorHAnsi" w:hAnsiTheme="minorHAnsi"/>
              <w:noProof/>
            </w:rPr>
          </w:pPr>
          <w:hyperlink w:anchor="_Toc447904085" w:history="1">
            <w:r w:rsidRPr="00602009">
              <w:rPr>
                <w:rStyle w:val="Hipervnculo"/>
                <w:noProof/>
              </w:rPr>
              <w:t>II.1.G</w:t>
            </w:r>
            <w:r>
              <w:rPr>
                <w:rFonts w:asciiTheme="minorHAnsi" w:hAnsiTheme="minorHAnsi"/>
                <w:noProof/>
              </w:rPr>
              <w:tab/>
            </w:r>
            <w:r w:rsidRPr="00602009">
              <w:rPr>
                <w:rStyle w:val="Hipervnculo"/>
                <w:noProof/>
              </w:rPr>
              <w:t>Evaluaciones</w:t>
            </w:r>
            <w:r>
              <w:rPr>
                <w:noProof/>
                <w:webHidden/>
              </w:rPr>
              <w:tab/>
            </w:r>
            <w:r>
              <w:rPr>
                <w:noProof/>
                <w:webHidden/>
              </w:rPr>
              <w:fldChar w:fldCharType="begin"/>
            </w:r>
            <w:r>
              <w:rPr>
                <w:noProof/>
                <w:webHidden/>
              </w:rPr>
              <w:instrText xml:space="preserve"> PAGEREF _Toc447904085 \h </w:instrText>
            </w:r>
            <w:r>
              <w:rPr>
                <w:noProof/>
                <w:webHidden/>
              </w:rPr>
            </w:r>
            <w:r>
              <w:rPr>
                <w:noProof/>
                <w:webHidden/>
              </w:rPr>
              <w:fldChar w:fldCharType="separate"/>
            </w:r>
            <w:r>
              <w:rPr>
                <w:noProof/>
                <w:webHidden/>
              </w:rPr>
              <w:t>27</w:t>
            </w:r>
            <w:r>
              <w:rPr>
                <w:noProof/>
                <w:webHidden/>
              </w:rPr>
              <w:fldChar w:fldCharType="end"/>
            </w:r>
          </w:hyperlink>
        </w:p>
        <w:p w14:paraId="6DEBCECB" w14:textId="77777777" w:rsidR="00F74C62" w:rsidRDefault="00F74C62">
          <w:pPr>
            <w:pStyle w:val="TDC1"/>
            <w:tabs>
              <w:tab w:val="left" w:pos="660"/>
              <w:tab w:val="right" w:leader="dot" w:pos="8828"/>
            </w:tabs>
            <w:rPr>
              <w:rFonts w:asciiTheme="minorHAnsi" w:hAnsiTheme="minorHAnsi"/>
              <w:noProof/>
            </w:rPr>
          </w:pPr>
          <w:hyperlink w:anchor="_Toc447904086" w:history="1">
            <w:r w:rsidRPr="00602009">
              <w:rPr>
                <w:rStyle w:val="Hipervnculo"/>
                <w:noProof/>
              </w:rPr>
              <w:t>III.</w:t>
            </w:r>
            <w:r>
              <w:rPr>
                <w:rFonts w:asciiTheme="minorHAnsi" w:hAnsiTheme="minorHAnsi"/>
                <w:noProof/>
              </w:rPr>
              <w:tab/>
            </w:r>
            <w:r w:rsidRPr="00602009">
              <w:rPr>
                <w:rStyle w:val="Hipervnculo"/>
                <w:noProof/>
              </w:rPr>
              <w:t>Líneas de acción Globales</w:t>
            </w:r>
            <w:r>
              <w:rPr>
                <w:noProof/>
                <w:webHidden/>
              </w:rPr>
              <w:tab/>
            </w:r>
            <w:r>
              <w:rPr>
                <w:noProof/>
                <w:webHidden/>
              </w:rPr>
              <w:fldChar w:fldCharType="begin"/>
            </w:r>
            <w:r>
              <w:rPr>
                <w:noProof/>
                <w:webHidden/>
              </w:rPr>
              <w:instrText xml:space="preserve"> PAGEREF _Toc447904086 \h </w:instrText>
            </w:r>
            <w:r>
              <w:rPr>
                <w:noProof/>
                <w:webHidden/>
              </w:rPr>
            </w:r>
            <w:r>
              <w:rPr>
                <w:noProof/>
                <w:webHidden/>
              </w:rPr>
              <w:fldChar w:fldCharType="separate"/>
            </w:r>
            <w:r>
              <w:rPr>
                <w:noProof/>
                <w:webHidden/>
              </w:rPr>
              <w:t>30</w:t>
            </w:r>
            <w:r>
              <w:rPr>
                <w:noProof/>
                <w:webHidden/>
              </w:rPr>
              <w:fldChar w:fldCharType="end"/>
            </w:r>
          </w:hyperlink>
        </w:p>
        <w:p w14:paraId="0A6935AA" w14:textId="77777777" w:rsidR="00F74C62" w:rsidRDefault="00F74C62">
          <w:pPr>
            <w:pStyle w:val="TDC2"/>
            <w:tabs>
              <w:tab w:val="left" w:pos="880"/>
              <w:tab w:val="right" w:leader="dot" w:pos="8828"/>
            </w:tabs>
            <w:rPr>
              <w:rFonts w:asciiTheme="minorHAnsi" w:hAnsiTheme="minorHAnsi"/>
              <w:noProof/>
            </w:rPr>
          </w:pPr>
          <w:hyperlink w:anchor="_Toc447904087" w:history="1">
            <w:r w:rsidRPr="00602009">
              <w:rPr>
                <w:rStyle w:val="Hipervnculo"/>
                <w:noProof/>
              </w:rPr>
              <w:t>III.1</w:t>
            </w:r>
            <w:r>
              <w:rPr>
                <w:rFonts w:asciiTheme="minorHAnsi" w:hAnsiTheme="minorHAnsi"/>
                <w:noProof/>
              </w:rPr>
              <w:tab/>
            </w:r>
            <w:r w:rsidRPr="00602009">
              <w:rPr>
                <w:rStyle w:val="Hipervnculo"/>
                <w:noProof/>
              </w:rPr>
              <w:t>Gestión de Proyectos</w:t>
            </w:r>
            <w:r>
              <w:rPr>
                <w:noProof/>
                <w:webHidden/>
              </w:rPr>
              <w:tab/>
            </w:r>
            <w:r>
              <w:rPr>
                <w:noProof/>
                <w:webHidden/>
              </w:rPr>
              <w:fldChar w:fldCharType="begin"/>
            </w:r>
            <w:r>
              <w:rPr>
                <w:noProof/>
                <w:webHidden/>
              </w:rPr>
              <w:instrText xml:space="preserve"> PAGEREF _Toc447904087 \h </w:instrText>
            </w:r>
            <w:r>
              <w:rPr>
                <w:noProof/>
                <w:webHidden/>
              </w:rPr>
            </w:r>
            <w:r>
              <w:rPr>
                <w:noProof/>
                <w:webHidden/>
              </w:rPr>
              <w:fldChar w:fldCharType="separate"/>
            </w:r>
            <w:r>
              <w:rPr>
                <w:noProof/>
                <w:webHidden/>
              </w:rPr>
              <w:t>31</w:t>
            </w:r>
            <w:r>
              <w:rPr>
                <w:noProof/>
                <w:webHidden/>
              </w:rPr>
              <w:fldChar w:fldCharType="end"/>
            </w:r>
          </w:hyperlink>
        </w:p>
        <w:p w14:paraId="013C6E3D" w14:textId="77777777" w:rsidR="00F74C62" w:rsidRDefault="00F74C62">
          <w:pPr>
            <w:pStyle w:val="TDC2"/>
            <w:tabs>
              <w:tab w:val="left" w:pos="880"/>
              <w:tab w:val="right" w:leader="dot" w:pos="8828"/>
            </w:tabs>
            <w:rPr>
              <w:rFonts w:asciiTheme="minorHAnsi" w:hAnsiTheme="minorHAnsi"/>
              <w:noProof/>
            </w:rPr>
          </w:pPr>
          <w:hyperlink w:anchor="_Toc447904088" w:history="1">
            <w:r w:rsidRPr="00602009">
              <w:rPr>
                <w:rStyle w:val="Hipervnculo"/>
                <w:noProof/>
              </w:rPr>
              <w:t>III.2</w:t>
            </w:r>
            <w:r>
              <w:rPr>
                <w:rFonts w:asciiTheme="minorHAnsi" w:hAnsiTheme="minorHAnsi"/>
                <w:noProof/>
              </w:rPr>
              <w:tab/>
            </w:r>
            <w:r w:rsidRPr="00602009">
              <w:rPr>
                <w:rStyle w:val="Hipervnculo"/>
                <w:noProof/>
              </w:rPr>
              <w:t>Avance Financiero</w:t>
            </w:r>
            <w:r>
              <w:rPr>
                <w:noProof/>
                <w:webHidden/>
              </w:rPr>
              <w:tab/>
            </w:r>
            <w:r>
              <w:rPr>
                <w:noProof/>
                <w:webHidden/>
              </w:rPr>
              <w:fldChar w:fldCharType="begin"/>
            </w:r>
            <w:r>
              <w:rPr>
                <w:noProof/>
                <w:webHidden/>
              </w:rPr>
              <w:instrText xml:space="preserve"> PAGEREF _Toc447904088 \h </w:instrText>
            </w:r>
            <w:r>
              <w:rPr>
                <w:noProof/>
                <w:webHidden/>
              </w:rPr>
            </w:r>
            <w:r>
              <w:rPr>
                <w:noProof/>
                <w:webHidden/>
              </w:rPr>
              <w:fldChar w:fldCharType="separate"/>
            </w:r>
            <w:r>
              <w:rPr>
                <w:noProof/>
                <w:webHidden/>
              </w:rPr>
              <w:t>32</w:t>
            </w:r>
            <w:r>
              <w:rPr>
                <w:noProof/>
                <w:webHidden/>
              </w:rPr>
              <w:fldChar w:fldCharType="end"/>
            </w:r>
          </w:hyperlink>
        </w:p>
        <w:p w14:paraId="065DC579" w14:textId="77777777" w:rsidR="00F74C62" w:rsidRDefault="00F74C62">
          <w:pPr>
            <w:pStyle w:val="TDC2"/>
            <w:tabs>
              <w:tab w:val="left" w:pos="880"/>
              <w:tab w:val="right" w:leader="dot" w:pos="8828"/>
            </w:tabs>
            <w:rPr>
              <w:rFonts w:asciiTheme="minorHAnsi" w:hAnsiTheme="minorHAnsi"/>
              <w:noProof/>
            </w:rPr>
          </w:pPr>
          <w:hyperlink w:anchor="_Toc447904089" w:history="1">
            <w:r w:rsidRPr="00602009">
              <w:rPr>
                <w:rStyle w:val="Hipervnculo"/>
                <w:noProof/>
              </w:rPr>
              <w:t>III.3</w:t>
            </w:r>
            <w:r>
              <w:rPr>
                <w:rFonts w:asciiTheme="minorHAnsi" w:hAnsiTheme="minorHAnsi"/>
                <w:noProof/>
              </w:rPr>
              <w:tab/>
            </w:r>
            <w:r w:rsidRPr="00602009">
              <w:rPr>
                <w:rStyle w:val="Hipervnculo"/>
                <w:noProof/>
              </w:rPr>
              <w:t>Indicadores</w:t>
            </w:r>
            <w:r>
              <w:rPr>
                <w:noProof/>
                <w:webHidden/>
              </w:rPr>
              <w:tab/>
            </w:r>
            <w:r>
              <w:rPr>
                <w:noProof/>
                <w:webHidden/>
              </w:rPr>
              <w:fldChar w:fldCharType="begin"/>
            </w:r>
            <w:r>
              <w:rPr>
                <w:noProof/>
                <w:webHidden/>
              </w:rPr>
              <w:instrText xml:space="preserve"> PAGEREF _Toc447904089 \h </w:instrText>
            </w:r>
            <w:r>
              <w:rPr>
                <w:noProof/>
                <w:webHidden/>
              </w:rPr>
            </w:r>
            <w:r>
              <w:rPr>
                <w:noProof/>
                <w:webHidden/>
              </w:rPr>
              <w:fldChar w:fldCharType="separate"/>
            </w:r>
            <w:r>
              <w:rPr>
                <w:noProof/>
                <w:webHidden/>
              </w:rPr>
              <w:t>32</w:t>
            </w:r>
            <w:r>
              <w:rPr>
                <w:noProof/>
                <w:webHidden/>
              </w:rPr>
              <w:fldChar w:fldCharType="end"/>
            </w:r>
          </w:hyperlink>
        </w:p>
        <w:p w14:paraId="566D65FC" w14:textId="77777777" w:rsidR="00F74C62" w:rsidRDefault="00F74C62">
          <w:pPr>
            <w:pStyle w:val="TDC2"/>
            <w:tabs>
              <w:tab w:val="left" w:pos="880"/>
              <w:tab w:val="right" w:leader="dot" w:pos="8828"/>
            </w:tabs>
            <w:rPr>
              <w:rFonts w:asciiTheme="minorHAnsi" w:hAnsiTheme="minorHAnsi"/>
              <w:noProof/>
            </w:rPr>
          </w:pPr>
          <w:hyperlink w:anchor="_Toc447904090" w:history="1">
            <w:r w:rsidRPr="00602009">
              <w:rPr>
                <w:rStyle w:val="Hipervnculo"/>
                <w:noProof/>
              </w:rPr>
              <w:t>III.4</w:t>
            </w:r>
            <w:r>
              <w:rPr>
                <w:rFonts w:asciiTheme="minorHAnsi" w:hAnsiTheme="minorHAnsi"/>
                <w:noProof/>
              </w:rPr>
              <w:tab/>
            </w:r>
            <w:r w:rsidRPr="00602009">
              <w:rPr>
                <w:rStyle w:val="Hipervnculo"/>
                <w:noProof/>
              </w:rPr>
              <w:t>Evaluaciones</w:t>
            </w:r>
            <w:r>
              <w:rPr>
                <w:noProof/>
                <w:webHidden/>
              </w:rPr>
              <w:tab/>
            </w:r>
            <w:r>
              <w:rPr>
                <w:noProof/>
                <w:webHidden/>
              </w:rPr>
              <w:fldChar w:fldCharType="begin"/>
            </w:r>
            <w:r>
              <w:rPr>
                <w:noProof/>
                <w:webHidden/>
              </w:rPr>
              <w:instrText xml:space="preserve"> PAGEREF _Toc447904090 \h </w:instrText>
            </w:r>
            <w:r>
              <w:rPr>
                <w:noProof/>
                <w:webHidden/>
              </w:rPr>
            </w:r>
            <w:r>
              <w:rPr>
                <w:noProof/>
                <w:webHidden/>
              </w:rPr>
              <w:fldChar w:fldCharType="separate"/>
            </w:r>
            <w:r>
              <w:rPr>
                <w:noProof/>
                <w:webHidden/>
              </w:rPr>
              <w:t>33</w:t>
            </w:r>
            <w:r>
              <w:rPr>
                <w:noProof/>
                <w:webHidden/>
              </w:rPr>
              <w:fldChar w:fldCharType="end"/>
            </w:r>
          </w:hyperlink>
        </w:p>
        <w:p w14:paraId="658AA51D" w14:textId="77777777" w:rsidR="001D2EBA" w:rsidRDefault="001D2EBA" w:rsidP="00D46CB5">
          <w:pPr>
            <w:tabs>
              <w:tab w:val="left" w:pos="1978"/>
            </w:tabs>
            <w:spacing w:line="276" w:lineRule="auto"/>
          </w:pPr>
          <w:r w:rsidRPr="00102584">
            <w:rPr>
              <w:rStyle w:val="Hipervnculo"/>
              <w:noProof/>
            </w:rPr>
            <w:fldChar w:fldCharType="end"/>
          </w:r>
        </w:p>
      </w:sdtContent>
    </w:sdt>
    <w:p w14:paraId="12ED282D" w14:textId="77777777" w:rsidR="001C58E0" w:rsidRDefault="001D2EBA">
      <w:pPr>
        <w:spacing w:line="276" w:lineRule="auto"/>
        <w:jc w:val="left"/>
      </w:pPr>
      <w:r>
        <w:br w:type="page"/>
      </w:r>
    </w:p>
    <w:p w14:paraId="2F2AEEBC" w14:textId="77777777" w:rsidR="001C58E0" w:rsidRDefault="001C58E0" w:rsidP="007326AB">
      <w:pPr>
        <w:pStyle w:val="Ttulo1"/>
        <w:numPr>
          <w:ilvl w:val="0"/>
          <w:numId w:val="0"/>
        </w:numPr>
      </w:pPr>
      <w:bookmarkStart w:id="2" w:name="_Toc447904075"/>
      <w:r>
        <w:lastRenderedPageBreak/>
        <w:t>Siglas y acrónimos</w:t>
      </w:r>
      <w:bookmarkEnd w:id="2"/>
    </w:p>
    <w:tbl>
      <w:tblPr>
        <w:tblW w:w="5615" w:type="pct"/>
        <w:tblLayout w:type="fixed"/>
        <w:tblCellMar>
          <w:left w:w="0" w:type="dxa"/>
          <w:right w:w="0" w:type="dxa"/>
        </w:tblCellMar>
        <w:tblLook w:val="04A0" w:firstRow="1" w:lastRow="0" w:firstColumn="1" w:lastColumn="0" w:noHBand="0" w:noVBand="1"/>
      </w:tblPr>
      <w:tblGrid>
        <w:gridCol w:w="1701"/>
        <w:gridCol w:w="8224"/>
      </w:tblGrid>
      <w:tr w:rsidR="007326AB" w:rsidRPr="007326AB" w14:paraId="39FB96B6"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1D157878" w14:textId="77777777" w:rsidR="007326AB" w:rsidRPr="007326AB" w:rsidRDefault="007326AB" w:rsidP="007326AB">
            <w:pPr>
              <w:spacing w:after="0"/>
              <w:jc w:val="left"/>
              <w:rPr>
                <w:color w:val="000000"/>
              </w:rPr>
            </w:pPr>
            <w:r w:rsidRPr="007326AB">
              <w:rPr>
                <w:color w:val="000000"/>
              </w:rPr>
              <w:t>CONAC</w:t>
            </w:r>
          </w:p>
        </w:tc>
        <w:tc>
          <w:tcPr>
            <w:tcW w:w="4143" w:type="pct"/>
            <w:shd w:val="clear" w:color="auto" w:fill="auto"/>
            <w:noWrap/>
            <w:tcMar>
              <w:top w:w="15" w:type="dxa"/>
              <w:left w:w="15" w:type="dxa"/>
              <w:bottom w:w="0" w:type="dxa"/>
              <w:right w:w="15" w:type="dxa"/>
            </w:tcMar>
            <w:vAlign w:val="center"/>
            <w:hideMark/>
          </w:tcPr>
          <w:p w14:paraId="5BBB42B9" w14:textId="77777777" w:rsidR="007326AB" w:rsidRPr="007326AB" w:rsidRDefault="007326AB" w:rsidP="007326AB">
            <w:pPr>
              <w:spacing w:after="0"/>
              <w:jc w:val="left"/>
              <w:rPr>
                <w:color w:val="000000"/>
              </w:rPr>
            </w:pPr>
            <w:r w:rsidRPr="007326AB">
              <w:rPr>
                <w:color w:val="000000"/>
              </w:rPr>
              <w:t>Consejo Nacional de Armonización Contable</w:t>
            </w:r>
          </w:p>
        </w:tc>
      </w:tr>
      <w:tr w:rsidR="007326AB" w:rsidRPr="007326AB" w14:paraId="78A0C6FD"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03D1A65A" w14:textId="77777777" w:rsidR="007326AB" w:rsidRPr="007326AB" w:rsidRDefault="007326AB" w:rsidP="007326AB">
            <w:pPr>
              <w:spacing w:after="0"/>
              <w:jc w:val="left"/>
              <w:rPr>
                <w:color w:val="000000"/>
              </w:rPr>
            </w:pPr>
            <w:r w:rsidRPr="007326AB">
              <w:rPr>
                <w:color w:val="000000"/>
              </w:rPr>
              <w:t>DOF</w:t>
            </w:r>
          </w:p>
        </w:tc>
        <w:tc>
          <w:tcPr>
            <w:tcW w:w="4143" w:type="pct"/>
            <w:shd w:val="clear" w:color="auto" w:fill="auto"/>
            <w:noWrap/>
            <w:tcMar>
              <w:top w:w="15" w:type="dxa"/>
              <w:left w:w="15" w:type="dxa"/>
              <w:bottom w:w="0" w:type="dxa"/>
              <w:right w:w="15" w:type="dxa"/>
            </w:tcMar>
            <w:vAlign w:val="center"/>
            <w:hideMark/>
          </w:tcPr>
          <w:p w14:paraId="1CE78332" w14:textId="77777777" w:rsidR="007326AB" w:rsidRPr="007326AB" w:rsidRDefault="007326AB" w:rsidP="007326AB">
            <w:pPr>
              <w:spacing w:after="0"/>
              <w:jc w:val="left"/>
              <w:rPr>
                <w:color w:val="000000"/>
              </w:rPr>
            </w:pPr>
            <w:r w:rsidRPr="007326AB">
              <w:rPr>
                <w:color w:val="000000"/>
              </w:rPr>
              <w:t>Diario Oficial de la Federación</w:t>
            </w:r>
          </w:p>
        </w:tc>
      </w:tr>
      <w:tr w:rsidR="007326AB" w:rsidRPr="007326AB" w14:paraId="14AE6258"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4AFED018" w14:textId="77777777" w:rsidR="007326AB" w:rsidRPr="007326AB" w:rsidRDefault="007326AB" w:rsidP="007326AB">
            <w:pPr>
              <w:spacing w:after="0"/>
              <w:jc w:val="left"/>
              <w:rPr>
                <w:color w:val="000000"/>
              </w:rPr>
            </w:pPr>
            <w:r w:rsidRPr="007326AB">
              <w:rPr>
                <w:color w:val="000000"/>
              </w:rPr>
              <w:t>FAETA</w:t>
            </w:r>
          </w:p>
        </w:tc>
        <w:tc>
          <w:tcPr>
            <w:tcW w:w="4143" w:type="pct"/>
            <w:shd w:val="clear" w:color="auto" w:fill="auto"/>
            <w:noWrap/>
            <w:tcMar>
              <w:top w:w="15" w:type="dxa"/>
              <w:left w:w="15" w:type="dxa"/>
              <w:bottom w:w="0" w:type="dxa"/>
              <w:right w:w="15" w:type="dxa"/>
            </w:tcMar>
            <w:vAlign w:val="center"/>
            <w:hideMark/>
          </w:tcPr>
          <w:p w14:paraId="2C82100C" w14:textId="77777777" w:rsidR="007326AB" w:rsidRPr="007326AB" w:rsidRDefault="007326AB" w:rsidP="007326AB">
            <w:pPr>
              <w:spacing w:after="0"/>
              <w:jc w:val="left"/>
              <w:rPr>
                <w:color w:val="000000"/>
              </w:rPr>
            </w:pPr>
            <w:r w:rsidRPr="007326AB">
              <w:rPr>
                <w:color w:val="000000"/>
              </w:rPr>
              <w:t>Fondo de Aportaciones para la Educación Tecnológica y de Adultos.</w:t>
            </w:r>
          </w:p>
        </w:tc>
      </w:tr>
      <w:tr w:rsidR="007326AB" w:rsidRPr="007326AB" w14:paraId="6FF75CDD"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00FF967A" w14:textId="77777777" w:rsidR="007326AB" w:rsidRPr="007326AB" w:rsidRDefault="007326AB" w:rsidP="007326AB">
            <w:pPr>
              <w:spacing w:after="0"/>
              <w:jc w:val="left"/>
              <w:rPr>
                <w:color w:val="000000"/>
              </w:rPr>
            </w:pPr>
            <w:r w:rsidRPr="007326AB">
              <w:rPr>
                <w:color w:val="000000"/>
              </w:rPr>
              <w:t>FAF</w:t>
            </w:r>
          </w:p>
        </w:tc>
        <w:tc>
          <w:tcPr>
            <w:tcW w:w="4143" w:type="pct"/>
            <w:shd w:val="clear" w:color="auto" w:fill="auto"/>
            <w:noWrap/>
            <w:tcMar>
              <w:top w:w="15" w:type="dxa"/>
              <w:left w:w="15" w:type="dxa"/>
              <w:bottom w:w="0" w:type="dxa"/>
              <w:right w:w="15" w:type="dxa"/>
            </w:tcMar>
            <w:vAlign w:val="center"/>
            <w:hideMark/>
          </w:tcPr>
          <w:p w14:paraId="683C64E4" w14:textId="77777777" w:rsidR="007326AB" w:rsidRPr="007326AB" w:rsidRDefault="007326AB" w:rsidP="007326AB">
            <w:pPr>
              <w:spacing w:after="0"/>
              <w:jc w:val="left"/>
              <w:rPr>
                <w:color w:val="000000"/>
              </w:rPr>
            </w:pPr>
            <w:r w:rsidRPr="007326AB">
              <w:rPr>
                <w:color w:val="000000"/>
              </w:rPr>
              <w:t>Fondo de Aportaciones Federales</w:t>
            </w:r>
          </w:p>
        </w:tc>
      </w:tr>
      <w:tr w:rsidR="007326AB" w:rsidRPr="007326AB" w14:paraId="7D024382"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7FB26E03" w14:textId="77777777" w:rsidR="007326AB" w:rsidRPr="007326AB" w:rsidRDefault="007326AB" w:rsidP="007326AB">
            <w:pPr>
              <w:spacing w:after="0"/>
              <w:jc w:val="left"/>
              <w:rPr>
                <w:color w:val="000000"/>
              </w:rPr>
            </w:pPr>
            <w:r w:rsidRPr="007326AB">
              <w:rPr>
                <w:color w:val="000000"/>
              </w:rPr>
              <w:t>FAFEF</w:t>
            </w:r>
          </w:p>
        </w:tc>
        <w:tc>
          <w:tcPr>
            <w:tcW w:w="4143" w:type="pct"/>
            <w:shd w:val="clear" w:color="auto" w:fill="auto"/>
            <w:noWrap/>
            <w:tcMar>
              <w:top w:w="15" w:type="dxa"/>
              <w:left w:w="15" w:type="dxa"/>
              <w:bottom w:w="0" w:type="dxa"/>
              <w:right w:w="15" w:type="dxa"/>
            </w:tcMar>
            <w:vAlign w:val="center"/>
            <w:hideMark/>
          </w:tcPr>
          <w:p w14:paraId="7B33604C" w14:textId="77777777" w:rsidR="007326AB" w:rsidRPr="007326AB" w:rsidRDefault="007326AB" w:rsidP="007326AB">
            <w:pPr>
              <w:spacing w:after="0"/>
              <w:jc w:val="left"/>
              <w:rPr>
                <w:color w:val="000000"/>
              </w:rPr>
            </w:pPr>
            <w:r w:rsidRPr="007326AB">
              <w:rPr>
                <w:color w:val="000000"/>
              </w:rPr>
              <w:t>Fondo de Aportaciones para el Fortalecimiento de las Entidades Federativas.</w:t>
            </w:r>
          </w:p>
        </w:tc>
      </w:tr>
      <w:tr w:rsidR="007326AB" w:rsidRPr="007326AB" w14:paraId="11BB179E"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5AE4D4D3" w14:textId="77777777" w:rsidR="007326AB" w:rsidRPr="007326AB" w:rsidRDefault="007326AB" w:rsidP="007326AB">
            <w:pPr>
              <w:spacing w:after="0"/>
              <w:jc w:val="left"/>
              <w:rPr>
                <w:color w:val="000000"/>
              </w:rPr>
            </w:pPr>
            <w:r w:rsidRPr="007326AB">
              <w:rPr>
                <w:color w:val="000000"/>
              </w:rPr>
              <w:t>FAIS</w:t>
            </w:r>
          </w:p>
        </w:tc>
        <w:tc>
          <w:tcPr>
            <w:tcW w:w="4143" w:type="pct"/>
            <w:shd w:val="clear" w:color="auto" w:fill="auto"/>
            <w:noWrap/>
            <w:tcMar>
              <w:top w:w="15" w:type="dxa"/>
              <w:left w:w="15" w:type="dxa"/>
              <w:bottom w:w="0" w:type="dxa"/>
              <w:right w:w="15" w:type="dxa"/>
            </w:tcMar>
            <w:vAlign w:val="center"/>
            <w:hideMark/>
          </w:tcPr>
          <w:p w14:paraId="17C59392" w14:textId="77777777" w:rsidR="007326AB" w:rsidRPr="007326AB" w:rsidRDefault="007326AB" w:rsidP="007326AB">
            <w:pPr>
              <w:spacing w:after="0"/>
              <w:jc w:val="left"/>
              <w:rPr>
                <w:color w:val="000000"/>
              </w:rPr>
            </w:pPr>
            <w:r w:rsidRPr="007326AB">
              <w:rPr>
                <w:color w:val="000000"/>
              </w:rPr>
              <w:t>Fondo de Aportaciones para la Infraestructura Social.</w:t>
            </w:r>
          </w:p>
        </w:tc>
      </w:tr>
      <w:tr w:rsidR="007326AB" w:rsidRPr="007326AB" w14:paraId="15E8C138"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5185B821" w14:textId="77777777" w:rsidR="007326AB" w:rsidRPr="007326AB" w:rsidRDefault="007326AB" w:rsidP="007326AB">
            <w:pPr>
              <w:spacing w:after="0"/>
              <w:jc w:val="left"/>
              <w:rPr>
                <w:color w:val="000000"/>
              </w:rPr>
            </w:pPr>
            <w:r w:rsidRPr="007326AB">
              <w:rPr>
                <w:color w:val="000000"/>
              </w:rPr>
              <w:t>FAM</w:t>
            </w:r>
          </w:p>
        </w:tc>
        <w:tc>
          <w:tcPr>
            <w:tcW w:w="4143" w:type="pct"/>
            <w:shd w:val="clear" w:color="auto" w:fill="auto"/>
            <w:noWrap/>
            <w:tcMar>
              <w:top w:w="15" w:type="dxa"/>
              <w:left w:w="15" w:type="dxa"/>
              <w:bottom w:w="0" w:type="dxa"/>
              <w:right w:w="15" w:type="dxa"/>
            </w:tcMar>
            <w:vAlign w:val="center"/>
            <w:hideMark/>
          </w:tcPr>
          <w:p w14:paraId="11F59884" w14:textId="77777777" w:rsidR="007326AB" w:rsidRPr="007326AB" w:rsidRDefault="007326AB" w:rsidP="007326AB">
            <w:pPr>
              <w:spacing w:after="0"/>
              <w:jc w:val="left"/>
              <w:rPr>
                <w:color w:val="000000"/>
              </w:rPr>
            </w:pPr>
            <w:r w:rsidRPr="007326AB">
              <w:rPr>
                <w:color w:val="000000"/>
              </w:rPr>
              <w:t>Fondo de Aportaciones Múltiples.</w:t>
            </w:r>
          </w:p>
        </w:tc>
      </w:tr>
      <w:tr w:rsidR="007326AB" w:rsidRPr="007326AB" w14:paraId="7A6A520E"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1D493CD7" w14:textId="77777777" w:rsidR="007326AB" w:rsidRPr="007326AB" w:rsidRDefault="007326AB" w:rsidP="007326AB">
            <w:pPr>
              <w:spacing w:after="0"/>
              <w:jc w:val="left"/>
              <w:rPr>
                <w:color w:val="000000"/>
              </w:rPr>
            </w:pPr>
            <w:r w:rsidRPr="007326AB">
              <w:rPr>
                <w:color w:val="000000"/>
              </w:rPr>
              <w:t>FASP</w:t>
            </w:r>
          </w:p>
        </w:tc>
        <w:tc>
          <w:tcPr>
            <w:tcW w:w="4143" w:type="pct"/>
            <w:shd w:val="clear" w:color="auto" w:fill="auto"/>
            <w:noWrap/>
            <w:tcMar>
              <w:top w:w="15" w:type="dxa"/>
              <w:left w:w="15" w:type="dxa"/>
              <w:bottom w:w="0" w:type="dxa"/>
              <w:right w:w="15" w:type="dxa"/>
            </w:tcMar>
            <w:vAlign w:val="center"/>
            <w:hideMark/>
          </w:tcPr>
          <w:p w14:paraId="1DAFC020" w14:textId="77777777" w:rsidR="007326AB" w:rsidRPr="007326AB" w:rsidRDefault="007326AB" w:rsidP="007326AB">
            <w:pPr>
              <w:spacing w:after="0"/>
              <w:jc w:val="left"/>
              <w:rPr>
                <w:color w:val="000000"/>
              </w:rPr>
            </w:pPr>
            <w:r w:rsidRPr="007326AB">
              <w:rPr>
                <w:color w:val="000000"/>
              </w:rPr>
              <w:t>Fondo de Aportaciones para la Seguridad Pública de los Estados.</w:t>
            </w:r>
          </w:p>
        </w:tc>
      </w:tr>
      <w:tr w:rsidR="007326AB" w:rsidRPr="007326AB" w14:paraId="3868EA48"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5BDAD965" w14:textId="77777777" w:rsidR="007326AB" w:rsidRPr="007326AB" w:rsidRDefault="007326AB" w:rsidP="007326AB">
            <w:pPr>
              <w:spacing w:after="0"/>
              <w:jc w:val="left"/>
              <w:rPr>
                <w:color w:val="000000"/>
              </w:rPr>
            </w:pPr>
            <w:r w:rsidRPr="007326AB">
              <w:rPr>
                <w:color w:val="000000"/>
              </w:rPr>
              <w:t>FASSA</w:t>
            </w:r>
          </w:p>
        </w:tc>
        <w:tc>
          <w:tcPr>
            <w:tcW w:w="4143" w:type="pct"/>
            <w:shd w:val="clear" w:color="auto" w:fill="auto"/>
            <w:noWrap/>
            <w:tcMar>
              <w:top w:w="15" w:type="dxa"/>
              <w:left w:w="15" w:type="dxa"/>
              <w:bottom w:w="0" w:type="dxa"/>
              <w:right w:w="15" w:type="dxa"/>
            </w:tcMar>
            <w:vAlign w:val="center"/>
            <w:hideMark/>
          </w:tcPr>
          <w:p w14:paraId="75D2F0B3" w14:textId="77777777" w:rsidR="007326AB" w:rsidRPr="007326AB" w:rsidRDefault="007326AB" w:rsidP="007326AB">
            <w:pPr>
              <w:spacing w:after="0"/>
              <w:jc w:val="left"/>
              <w:rPr>
                <w:color w:val="000000"/>
              </w:rPr>
            </w:pPr>
            <w:r w:rsidRPr="007326AB">
              <w:rPr>
                <w:color w:val="000000"/>
              </w:rPr>
              <w:t>Fondo de Aportaciones para los Servicios de Salud.</w:t>
            </w:r>
          </w:p>
        </w:tc>
      </w:tr>
      <w:tr w:rsidR="007326AB" w:rsidRPr="007326AB" w14:paraId="7AA9E402"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2BF08B53" w14:textId="77777777" w:rsidR="007326AB" w:rsidRPr="007326AB" w:rsidRDefault="007326AB" w:rsidP="007326AB">
            <w:pPr>
              <w:spacing w:after="0"/>
              <w:jc w:val="left"/>
              <w:rPr>
                <w:color w:val="000000"/>
              </w:rPr>
            </w:pPr>
            <w:r w:rsidRPr="007326AB">
              <w:rPr>
                <w:color w:val="000000"/>
              </w:rPr>
              <w:t>FONE</w:t>
            </w:r>
          </w:p>
        </w:tc>
        <w:tc>
          <w:tcPr>
            <w:tcW w:w="4143" w:type="pct"/>
            <w:shd w:val="clear" w:color="auto" w:fill="auto"/>
            <w:noWrap/>
            <w:tcMar>
              <w:top w:w="15" w:type="dxa"/>
              <w:left w:w="15" w:type="dxa"/>
              <w:bottom w:w="0" w:type="dxa"/>
              <w:right w:w="15" w:type="dxa"/>
            </w:tcMar>
            <w:vAlign w:val="center"/>
            <w:hideMark/>
          </w:tcPr>
          <w:p w14:paraId="461DA759" w14:textId="77777777" w:rsidR="007326AB" w:rsidRPr="007326AB" w:rsidRDefault="007326AB" w:rsidP="007326AB">
            <w:pPr>
              <w:spacing w:after="0"/>
              <w:jc w:val="left"/>
              <w:rPr>
                <w:color w:val="000000"/>
              </w:rPr>
            </w:pPr>
            <w:r w:rsidRPr="007326AB">
              <w:rPr>
                <w:color w:val="000000"/>
              </w:rPr>
              <w:t>Fondo de Aportaciones para la Nómina Educativa y Gasto Operativo.</w:t>
            </w:r>
          </w:p>
        </w:tc>
      </w:tr>
      <w:tr w:rsidR="007326AB" w:rsidRPr="007326AB" w14:paraId="2929DB63"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629D2965" w14:textId="77777777" w:rsidR="007326AB" w:rsidRPr="007326AB" w:rsidRDefault="007326AB" w:rsidP="007326AB">
            <w:pPr>
              <w:spacing w:after="0"/>
              <w:jc w:val="left"/>
              <w:rPr>
                <w:color w:val="000000"/>
              </w:rPr>
            </w:pPr>
            <w:r w:rsidRPr="007326AB">
              <w:rPr>
                <w:color w:val="000000"/>
              </w:rPr>
              <w:t>FORTAMUN</w:t>
            </w:r>
          </w:p>
        </w:tc>
        <w:tc>
          <w:tcPr>
            <w:tcW w:w="4143" w:type="pct"/>
            <w:shd w:val="clear" w:color="auto" w:fill="auto"/>
            <w:noWrap/>
            <w:tcMar>
              <w:top w:w="15" w:type="dxa"/>
              <w:left w:w="15" w:type="dxa"/>
              <w:bottom w:w="0" w:type="dxa"/>
              <w:right w:w="15" w:type="dxa"/>
            </w:tcMar>
            <w:vAlign w:val="center"/>
            <w:hideMark/>
          </w:tcPr>
          <w:p w14:paraId="4249ED85" w14:textId="77777777" w:rsidR="007326AB" w:rsidRPr="007326AB" w:rsidRDefault="007326AB" w:rsidP="007326AB">
            <w:pPr>
              <w:spacing w:after="0"/>
              <w:jc w:val="left"/>
              <w:rPr>
                <w:color w:val="000000"/>
              </w:rPr>
            </w:pPr>
            <w:r w:rsidRPr="007326AB">
              <w:rPr>
                <w:color w:val="000000"/>
              </w:rPr>
              <w:t>Fondo de Aportaciones para el Fortalecimiento de los Municipios.</w:t>
            </w:r>
          </w:p>
        </w:tc>
      </w:tr>
      <w:tr w:rsidR="007326AB" w:rsidRPr="007326AB" w14:paraId="51E9C1C5"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45D23729" w14:textId="77777777" w:rsidR="007326AB" w:rsidRPr="007326AB" w:rsidRDefault="007326AB" w:rsidP="007326AB">
            <w:pPr>
              <w:spacing w:after="0"/>
              <w:jc w:val="left"/>
              <w:rPr>
                <w:color w:val="000000"/>
              </w:rPr>
            </w:pPr>
            <w:r w:rsidRPr="007326AB">
              <w:rPr>
                <w:color w:val="000000"/>
              </w:rPr>
              <w:t>ICI</w:t>
            </w:r>
          </w:p>
        </w:tc>
        <w:tc>
          <w:tcPr>
            <w:tcW w:w="4143" w:type="pct"/>
            <w:shd w:val="clear" w:color="auto" w:fill="auto"/>
            <w:noWrap/>
            <w:tcMar>
              <w:top w:w="15" w:type="dxa"/>
              <w:left w:w="15" w:type="dxa"/>
              <w:bottom w:w="0" w:type="dxa"/>
              <w:right w:w="15" w:type="dxa"/>
            </w:tcMar>
            <w:vAlign w:val="center"/>
            <w:hideMark/>
          </w:tcPr>
          <w:p w14:paraId="2C9B03B3" w14:textId="77777777" w:rsidR="007326AB" w:rsidRPr="007326AB" w:rsidRDefault="007326AB" w:rsidP="007326AB">
            <w:pPr>
              <w:spacing w:after="0"/>
              <w:jc w:val="left"/>
              <w:rPr>
                <w:color w:val="000000"/>
              </w:rPr>
            </w:pPr>
            <w:r w:rsidRPr="007326AB">
              <w:rPr>
                <w:color w:val="000000"/>
              </w:rPr>
              <w:t>Índice de Calidad de la Información</w:t>
            </w:r>
          </w:p>
        </w:tc>
      </w:tr>
      <w:tr w:rsidR="00A10A6A" w:rsidRPr="007326AB" w14:paraId="0C64B943" w14:textId="77777777" w:rsidTr="007326AB">
        <w:trPr>
          <w:trHeight w:val="20"/>
        </w:trPr>
        <w:tc>
          <w:tcPr>
            <w:tcW w:w="857" w:type="pct"/>
            <w:shd w:val="clear" w:color="auto" w:fill="auto"/>
            <w:noWrap/>
            <w:tcMar>
              <w:top w:w="15" w:type="dxa"/>
              <w:left w:w="15" w:type="dxa"/>
              <w:bottom w:w="0" w:type="dxa"/>
              <w:right w:w="15" w:type="dxa"/>
            </w:tcMar>
            <w:vAlign w:val="center"/>
          </w:tcPr>
          <w:p w14:paraId="0FBB70F2" w14:textId="77777777" w:rsidR="00A10A6A" w:rsidRPr="007326AB" w:rsidRDefault="00A10A6A" w:rsidP="007326AB">
            <w:pPr>
              <w:spacing w:after="0"/>
              <w:jc w:val="left"/>
              <w:rPr>
                <w:color w:val="000000"/>
              </w:rPr>
            </w:pPr>
            <w:r>
              <w:rPr>
                <w:color w:val="000000"/>
              </w:rPr>
              <w:t>INEGI</w:t>
            </w:r>
          </w:p>
        </w:tc>
        <w:tc>
          <w:tcPr>
            <w:tcW w:w="4143" w:type="pct"/>
            <w:shd w:val="clear" w:color="auto" w:fill="auto"/>
            <w:noWrap/>
            <w:tcMar>
              <w:top w:w="15" w:type="dxa"/>
              <w:left w:w="15" w:type="dxa"/>
              <w:bottom w:w="0" w:type="dxa"/>
              <w:right w:w="15" w:type="dxa"/>
            </w:tcMar>
            <w:vAlign w:val="center"/>
          </w:tcPr>
          <w:p w14:paraId="24E8A73E" w14:textId="77777777" w:rsidR="00A10A6A" w:rsidRPr="007326AB" w:rsidRDefault="00737D39" w:rsidP="007326AB">
            <w:pPr>
              <w:spacing w:after="0"/>
              <w:jc w:val="left"/>
              <w:rPr>
                <w:color w:val="000000"/>
              </w:rPr>
            </w:pPr>
            <w:r>
              <w:t xml:space="preserve">Instituto Nacional de Estadística y Geografía </w:t>
            </w:r>
          </w:p>
        </w:tc>
      </w:tr>
      <w:tr w:rsidR="007326AB" w:rsidRPr="007326AB" w14:paraId="4EDC849A"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0F23FA9D" w14:textId="77777777" w:rsidR="007326AB" w:rsidRPr="007326AB" w:rsidRDefault="007326AB" w:rsidP="007326AB">
            <w:pPr>
              <w:spacing w:after="0"/>
              <w:jc w:val="left"/>
              <w:rPr>
                <w:color w:val="000000"/>
              </w:rPr>
            </w:pPr>
            <w:r w:rsidRPr="007326AB">
              <w:rPr>
                <w:color w:val="000000"/>
              </w:rPr>
              <w:t>LCF</w:t>
            </w:r>
          </w:p>
        </w:tc>
        <w:tc>
          <w:tcPr>
            <w:tcW w:w="4143" w:type="pct"/>
            <w:shd w:val="clear" w:color="auto" w:fill="auto"/>
            <w:noWrap/>
            <w:tcMar>
              <w:top w:w="15" w:type="dxa"/>
              <w:left w:w="15" w:type="dxa"/>
              <w:bottom w:w="0" w:type="dxa"/>
              <w:right w:w="15" w:type="dxa"/>
            </w:tcMar>
            <w:vAlign w:val="center"/>
            <w:hideMark/>
          </w:tcPr>
          <w:p w14:paraId="72520025" w14:textId="77777777" w:rsidR="007326AB" w:rsidRPr="007326AB" w:rsidRDefault="007326AB" w:rsidP="007326AB">
            <w:pPr>
              <w:spacing w:after="0"/>
              <w:jc w:val="left"/>
              <w:rPr>
                <w:color w:val="000000"/>
              </w:rPr>
            </w:pPr>
            <w:r w:rsidRPr="007326AB">
              <w:rPr>
                <w:color w:val="000000"/>
              </w:rPr>
              <w:t>Ley de Coordinación Fiscal</w:t>
            </w:r>
          </w:p>
        </w:tc>
      </w:tr>
      <w:tr w:rsidR="007326AB" w:rsidRPr="007326AB" w14:paraId="3AD4D4A7"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7CD7D6D7" w14:textId="77777777" w:rsidR="007326AB" w:rsidRPr="007326AB" w:rsidRDefault="007326AB" w:rsidP="007326AB">
            <w:pPr>
              <w:spacing w:after="0"/>
              <w:jc w:val="left"/>
              <w:rPr>
                <w:color w:val="000000"/>
              </w:rPr>
            </w:pPr>
            <w:r w:rsidRPr="007326AB">
              <w:rPr>
                <w:color w:val="000000"/>
              </w:rPr>
              <w:t>LFPRH</w:t>
            </w:r>
          </w:p>
        </w:tc>
        <w:tc>
          <w:tcPr>
            <w:tcW w:w="4143" w:type="pct"/>
            <w:shd w:val="clear" w:color="auto" w:fill="auto"/>
            <w:noWrap/>
            <w:tcMar>
              <w:top w:w="15" w:type="dxa"/>
              <w:left w:w="15" w:type="dxa"/>
              <w:bottom w:w="0" w:type="dxa"/>
              <w:right w:w="15" w:type="dxa"/>
            </w:tcMar>
            <w:vAlign w:val="center"/>
            <w:hideMark/>
          </w:tcPr>
          <w:p w14:paraId="7F5A0092" w14:textId="77777777" w:rsidR="007326AB" w:rsidRPr="007326AB" w:rsidRDefault="007326AB" w:rsidP="007326AB">
            <w:pPr>
              <w:spacing w:after="0"/>
              <w:jc w:val="left"/>
              <w:rPr>
                <w:color w:val="000000"/>
              </w:rPr>
            </w:pPr>
            <w:r w:rsidRPr="007326AB">
              <w:rPr>
                <w:color w:val="000000"/>
              </w:rPr>
              <w:t>Ley Federal de Presupuesto y Responsabilidad Hacendaria</w:t>
            </w:r>
          </w:p>
        </w:tc>
      </w:tr>
      <w:tr w:rsidR="007326AB" w:rsidRPr="007326AB" w14:paraId="1E99D9A4"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11EEEF00" w14:textId="77777777" w:rsidR="007326AB" w:rsidRPr="007326AB" w:rsidRDefault="007326AB" w:rsidP="007326AB">
            <w:pPr>
              <w:spacing w:after="0"/>
              <w:jc w:val="left"/>
              <w:rPr>
                <w:color w:val="000000"/>
              </w:rPr>
            </w:pPr>
            <w:r w:rsidRPr="007326AB">
              <w:rPr>
                <w:color w:val="000000"/>
              </w:rPr>
              <w:t>LGCG</w:t>
            </w:r>
          </w:p>
        </w:tc>
        <w:tc>
          <w:tcPr>
            <w:tcW w:w="4143" w:type="pct"/>
            <w:shd w:val="clear" w:color="auto" w:fill="auto"/>
            <w:noWrap/>
            <w:tcMar>
              <w:top w:w="15" w:type="dxa"/>
              <w:left w:w="15" w:type="dxa"/>
              <w:bottom w:w="0" w:type="dxa"/>
              <w:right w:w="15" w:type="dxa"/>
            </w:tcMar>
            <w:vAlign w:val="center"/>
            <w:hideMark/>
          </w:tcPr>
          <w:p w14:paraId="16538ECC" w14:textId="77777777" w:rsidR="007326AB" w:rsidRPr="007326AB" w:rsidRDefault="007326AB" w:rsidP="007326AB">
            <w:pPr>
              <w:spacing w:after="0"/>
              <w:jc w:val="left"/>
              <w:rPr>
                <w:color w:val="000000"/>
              </w:rPr>
            </w:pPr>
            <w:r w:rsidRPr="007326AB">
              <w:rPr>
                <w:color w:val="000000"/>
              </w:rPr>
              <w:t>Ley General de Contabilidad Gubernamental</w:t>
            </w:r>
          </w:p>
        </w:tc>
      </w:tr>
      <w:tr w:rsidR="007326AB" w:rsidRPr="007326AB" w14:paraId="519D9042"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0F3F1E88" w14:textId="77777777" w:rsidR="007326AB" w:rsidRPr="007326AB" w:rsidRDefault="007326AB" w:rsidP="007326AB">
            <w:pPr>
              <w:spacing w:after="0"/>
              <w:jc w:val="left"/>
              <w:rPr>
                <w:color w:val="000000"/>
              </w:rPr>
            </w:pPr>
            <w:r w:rsidRPr="007326AB">
              <w:rPr>
                <w:color w:val="000000"/>
              </w:rPr>
              <w:t>MIR</w:t>
            </w:r>
          </w:p>
        </w:tc>
        <w:tc>
          <w:tcPr>
            <w:tcW w:w="4143" w:type="pct"/>
            <w:shd w:val="clear" w:color="auto" w:fill="auto"/>
            <w:noWrap/>
            <w:tcMar>
              <w:top w:w="15" w:type="dxa"/>
              <w:left w:w="15" w:type="dxa"/>
              <w:bottom w:w="0" w:type="dxa"/>
              <w:right w:w="15" w:type="dxa"/>
            </w:tcMar>
            <w:vAlign w:val="center"/>
            <w:hideMark/>
          </w:tcPr>
          <w:p w14:paraId="0382F27E" w14:textId="77777777" w:rsidR="007326AB" w:rsidRPr="007326AB" w:rsidRDefault="007326AB" w:rsidP="007326AB">
            <w:pPr>
              <w:spacing w:after="0"/>
              <w:jc w:val="left"/>
              <w:rPr>
                <w:color w:val="000000"/>
              </w:rPr>
            </w:pPr>
            <w:r w:rsidRPr="007326AB">
              <w:rPr>
                <w:color w:val="000000"/>
              </w:rPr>
              <w:t>Matriz de Indicadores de Resultados.</w:t>
            </w:r>
          </w:p>
        </w:tc>
      </w:tr>
      <w:tr w:rsidR="007326AB" w:rsidRPr="007326AB" w14:paraId="4815D5E1"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24B40E91" w14:textId="77777777" w:rsidR="007326AB" w:rsidRPr="007326AB" w:rsidRDefault="007326AB" w:rsidP="007326AB">
            <w:pPr>
              <w:spacing w:after="0"/>
              <w:jc w:val="left"/>
              <w:rPr>
                <w:color w:val="000000"/>
              </w:rPr>
            </w:pPr>
            <w:r w:rsidRPr="007326AB">
              <w:rPr>
                <w:color w:val="000000"/>
              </w:rPr>
              <w:t>Pp</w:t>
            </w:r>
          </w:p>
        </w:tc>
        <w:tc>
          <w:tcPr>
            <w:tcW w:w="4143" w:type="pct"/>
            <w:shd w:val="clear" w:color="auto" w:fill="auto"/>
            <w:noWrap/>
            <w:tcMar>
              <w:top w:w="15" w:type="dxa"/>
              <w:left w:w="15" w:type="dxa"/>
              <w:bottom w:w="0" w:type="dxa"/>
              <w:right w:w="15" w:type="dxa"/>
            </w:tcMar>
            <w:vAlign w:val="center"/>
            <w:hideMark/>
          </w:tcPr>
          <w:p w14:paraId="2A9F9B4E" w14:textId="77777777" w:rsidR="007326AB" w:rsidRPr="007326AB" w:rsidRDefault="007326AB" w:rsidP="007326AB">
            <w:pPr>
              <w:spacing w:after="0"/>
              <w:jc w:val="left"/>
              <w:rPr>
                <w:color w:val="000000"/>
              </w:rPr>
            </w:pPr>
            <w:r w:rsidRPr="007326AB">
              <w:rPr>
                <w:color w:val="000000"/>
              </w:rPr>
              <w:t>Programa Presupuestario.</w:t>
            </w:r>
          </w:p>
        </w:tc>
      </w:tr>
      <w:tr w:rsidR="007326AB" w:rsidRPr="007326AB" w14:paraId="5B3ED88E"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08BAEAB7" w14:textId="77777777" w:rsidR="007326AB" w:rsidRPr="007326AB" w:rsidRDefault="007326AB" w:rsidP="007326AB">
            <w:pPr>
              <w:spacing w:after="0"/>
              <w:jc w:val="left"/>
              <w:rPr>
                <w:color w:val="000000"/>
              </w:rPr>
            </w:pPr>
            <w:r w:rsidRPr="007326AB">
              <w:rPr>
                <w:color w:val="000000"/>
              </w:rPr>
              <w:t>SFU</w:t>
            </w:r>
          </w:p>
        </w:tc>
        <w:tc>
          <w:tcPr>
            <w:tcW w:w="4143" w:type="pct"/>
            <w:shd w:val="clear" w:color="auto" w:fill="auto"/>
            <w:noWrap/>
            <w:tcMar>
              <w:top w:w="15" w:type="dxa"/>
              <w:left w:w="15" w:type="dxa"/>
              <w:bottom w:w="0" w:type="dxa"/>
              <w:right w:w="15" w:type="dxa"/>
            </w:tcMar>
            <w:vAlign w:val="center"/>
            <w:hideMark/>
          </w:tcPr>
          <w:p w14:paraId="05CB1705" w14:textId="77777777" w:rsidR="007326AB" w:rsidRPr="007326AB" w:rsidRDefault="007326AB" w:rsidP="007326AB">
            <w:pPr>
              <w:spacing w:after="0"/>
              <w:jc w:val="left"/>
              <w:rPr>
                <w:color w:val="000000"/>
              </w:rPr>
            </w:pPr>
            <w:r w:rsidRPr="007326AB">
              <w:rPr>
                <w:color w:val="000000"/>
              </w:rPr>
              <w:t>Sistema de Formato Único.</w:t>
            </w:r>
          </w:p>
        </w:tc>
      </w:tr>
      <w:tr w:rsidR="007326AB" w:rsidRPr="007326AB" w14:paraId="7F39C6D7"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1506B334" w14:textId="77777777" w:rsidR="007326AB" w:rsidRPr="007326AB" w:rsidRDefault="007326AB" w:rsidP="007326AB">
            <w:pPr>
              <w:spacing w:after="0"/>
              <w:jc w:val="left"/>
              <w:rPr>
                <w:color w:val="000000"/>
              </w:rPr>
            </w:pPr>
            <w:r w:rsidRPr="007326AB">
              <w:rPr>
                <w:color w:val="000000"/>
              </w:rPr>
              <w:t>SHCP</w:t>
            </w:r>
          </w:p>
        </w:tc>
        <w:tc>
          <w:tcPr>
            <w:tcW w:w="4143" w:type="pct"/>
            <w:shd w:val="clear" w:color="auto" w:fill="auto"/>
            <w:noWrap/>
            <w:tcMar>
              <w:top w:w="15" w:type="dxa"/>
              <w:left w:w="15" w:type="dxa"/>
              <w:bottom w:w="0" w:type="dxa"/>
              <w:right w:w="15" w:type="dxa"/>
            </w:tcMar>
            <w:vAlign w:val="center"/>
            <w:hideMark/>
          </w:tcPr>
          <w:p w14:paraId="3D158FC8" w14:textId="77777777" w:rsidR="007326AB" w:rsidRPr="007326AB" w:rsidRDefault="007326AB" w:rsidP="007326AB">
            <w:pPr>
              <w:spacing w:after="0"/>
              <w:jc w:val="left"/>
              <w:rPr>
                <w:color w:val="000000"/>
              </w:rPr>
            </w:pPr>
            <w:r w:rsidRPr="007326AB">
              <w:rPr>
                <w:color w:val="000000"/>
              </w:rPr>
              <w:t>Secretaría de Hacienda y Crédito Público.</w:t>
            </w:r>
          </w:p>
        </w:tc>
      </w:tr>
      <w:tr w:rsidR="007326AB" w:rsidRPr="007326AB" w14:paraId="6BA3F2BA" w14:textId="77777777" w:rsidTr="007326AB">
        <w:trPr>
          <w:trHeight w:val="20"/>
        </w:trPr>
        <w:tc>
          <w:tcPr>
            <w:tcW w:w="857" w:type="pct"/>
            <w:shd w:val="clear" w:color="auto" w:fill="auto"/>
            <w:noWrap/>
            <w:tcMar>
              <w:top w:w="15" w:type="dxa"/>
              <w:left w:w="15" w:type="dxa"/>
              <w:bottom w:w="0" w:type="dxa"/>
              <w:right w:w="15" w:type="dxa"/>
            </w:tcMar>
            <w:vAlign w:val="center"/>
            <w:hideMark/>
          </w:tcPr>
          <w:p w14:paraId="668E287B" w14:textId="77777777" w:rsidR="007326AB" w:rsidRPr="007326AB" w:rsidRDefault="007326AB" w:rsidP="007326AB">
            <w:pPr>
              <w:spacing w:after="0"/>
              <w:jc w:val="left"/>
              <w:rPr>
                <w:color w:val="000000"/>
              </w:rPr>
            </w:pPr>
            <w:r w:rsidRPr="007326AB">
              <w:rPr>
                <w:color w:val="000000"/>
              </w:rPr>
              <w:t>TESOFE</w:t>
            </w:r>
          </w:p>
        </w:tc>
        <w:tc>
          <w:tcPr>
            <w:tcW w:w="4143" w:type="pct"/>
            <w:shd w:val="clear" w:color="auto" w:fill="auto"/>
            <w:noWrap/>
            <w:tcMar>
              <w:top w:w="15" w:type="dxa"/>
              <w:left w:w="15" w:type="dxa"/>
              <w:bottom w:w="0" w:type="dxa"/>
              <w:right w:w="15" w:type="dxa"/>
            </w:tcMar>
            <w:vAlign w:val="center"/>
            <w:hideMark/>
          </w:tcPr>
          <w:p w14:paraId="76B3D29E" w14:textId="77777777" w:rsidR="007326AB" w:rsidRPr="007326AB" w:rsidRDefault="007326AB" w:rsidP="007326AB">
            <w:pPr>
              <w:spacing w:after="0"/>
              <w:jc w:val="left"/>
              <w:rPr>
                <w:color w:val="000000"/>
              </w:rPr>
            </w:pPr>
            <w:r w:rsidRPr="007326AB">
              <w:rPr>
                <w:color w:val="000000"/>
              </w:rPr>
              <w:t>Tesorería de la Federación.</w:t>
            </w:r>
          </w:p>
        </w:tc>
      </w:tr>
    </w:tbl>
    <w:p w14:paraId="0BA3C92D" w14:textId="77777777" w:rsidR="001C58E0" w:rsidRDefault="007326AB">
      <w:pPr>
        <w:spacing w:line="276" w:lineRule="auto"/>
        <w:jc w:val="left"/>
      </w:pPr>
      <w:r>
        <w:t xml:space="preserve"> </w:t>
      </w:r>
      <w:r w:rsidR="001C58E0">
        <w:br w:type="page"/>
      </w:r>
    </w:p>
    <w:p w14:paraId="256983B7" w14:textId="77777777" w:rsidR="0099621A" w:rsidRPr="001D2EBA" w:rsidRDefault="003070AA" w:rsidP="00232D50">
      <w:pPr>
        <w:pStyle w:val="Ttulo1"/>
        <w:numPr>
          <w:ilvl w:val="0"/>
          <w:numId w:val="15"/>
        </w:numPr>
      </w:pPr>
      <w:bookmarkStart w:id="3" w:name="_Toc447904076"/>
      <w:r w:rsidRPr="001D2EBA">
        <w:lastRenderedPageBreak/>
        <w:t>Antecedentes</w:t>
      </w:r>
      <w:bookmarkEnd w:id="0"/>
      <w:bookmarkEnd w:id="3"/>
      <w:r w:rsidRPr="001D2EBA">
        <w:t xml:space="preserve"> </w:t>
      </w:r>
    </w:p>
    <w:p w14:paraId="5BEEB814" w14:textId="77777777" w:rsidR="00816D9B" w:rsidRDefault="00816D9B" w:rsidP="00E623BC">
      <w:pPr>
        <w:spacing w:after="0"/>
      </w:pPr>
      <w:r>
        <w:t>Las funciones de seguimiento y evaluación de</w:t>
      </w:r>
      <w:r w:rsidR="00312980">
        <w:t xml:space="preserve"> los recursos que</w:t>
      </w:r>
      <w:r>
        <w:t xml:space="preserve"> la </w:t>
      </w:r>
      <w:r w:rsidR="001C58E0">
        <w:t>SHCP</w:t>
      </w:r>
      <w:r w:rsidR="00312980">
        <w:t xml:space="preserve"> transfiere a los gobiernos locales</w:t>
      </w:r>
      <w:r>
        <w:t xml:space="preserve"> </w:t>
      </w:r>
      <w:r w:rsidR="003928D1">
        <w:t>se sustentan</w:t>
      </w:r>
      <w:r>
        <w:t xml:space="preserve"> en el artículo 85 de la</w:t>
      </w:r>
      <w:r w:rsidR="001C58E0">
        <w:t xml:space="preserve"> LFPRH</w:t>
      </w:r>
      <w:r w:rsidR="00A10A6A">
        <w:t xml:space="preserve"> así como en los artículos 48 y 49 de la LCF</w:t>
      </w:r>
      <w:r w:rsidR="0011339B">
        <w:t xml:space="preserve">. En esta </w:t>
      </w:r>
      <w:r w:rsidR="00911A65">
        <w:t xml:space="preserve">normativa </w:t>
      </w:r>
      <w:r w:rsidR="0011339B">
        <w:t>se</w:t>
      </w:r>
      <w:r>
        <w:t xml:space="preserve"> establece la obligación de las </w:t>
      </w:r>
      <w:r w:rsidR="00F76F0E">
        <w:t>entidades federativas</w:t>
      </w:r>
      <w:r>
        <w:t xml:space="preserve"> de informar sobre el ejercicio, destino y resultados obtenidos de los recursos federales que les son transferidos. Para ello, se requiere que la SHCP ponga a su disposición un sistema de información en el que puedan llevar a cabo dichos informes, así como los lineamientos que rijan el proceso de reporte.</w:t>
      </w:r>
    </w:p>
    <w:p w14:paraId="7018C4BC" w14:textId="77777777" w:rsidR="00816D9B" w:rsidRDefault="00816D9B" w:rsidP="00D50266">
      <w:pPr>
        <w:spacing w:after="0"/>
        <w:ind w:firstLine="709"/>
      </w:pPr>
      <w:r>
        <w:t>Con base en tal ordenamiento y en lo establecido en los artículos 68, 71, 72 y 80 de la LGCG</w:t>
      </w:r>
      <w:r w:rsidR="001C58E0">
        <w:t xml:space="preserve"> y 48 de la LCF</w:t>
      </w:r>
      <w:r>
        <w:t xml:space="preserve">, el 25 de abril de 2013 se publicaron en el </w:t>
      </w:r>
      <w:r w:rsidR="001C58E0">
        <w:t>DOF</w:t>
      </w:r>
      <w:r>
        <w:t xml:space="preserve"> los “Lineamientos para informar sobre los recursos federales transferidos a las </w:t>
      </w:r>
      <w:r w:rsidR="00F76F0E">
        <w:t>entidades federativas</w:t>
      </w:r>
      <w:r>
        <w:t xml:space="preserve">, municipios y demarcaciones territoriales del </w:t>
      </w:r>
      <w:r w:rsidR="00F76F0E">
        <w:t>D</w:t>
      </w:r>
      <w:r w:rsidR="00A433C6">
        <w:t xml:space="preserve">istrito </w:t>
      </w:r>
      <w:r w:rsidR="00F76F0E">
        <w:t>F</w:t>
      </w:r>
      <w:r w:rsidR="00A433C6">
        <w:t>ederal</w:t>
      </w:r>
      <w:r>
        <w:t>, y de operación de los recursos del Ramo General 33” (Lineamientos).</w:t>
      </w:r>
    </w:p>
    <w:p w14:paraId="0140489A" w14:textId="77777777" w:rsidR="00816D9B" w:rsidRPr="00DB2A4C" w:rsidRDefault="00F76F0E" w:rsidP="00232D50">
      <w:pPr>
        <w:ind w:firstLine="709"/>
      </w:pPr>
      <w:r>
        <w:t>Con la publicación de los Lineamientos, se realizaron</w:t>
      </w:r>
      <w:r w:rsidR="00DB2A4C">
        <w:t xml:space="preserve"> </w:t>
      </w:r>
      <w:r w:rsidR="00816D9B" w:rsidRPr="00DB2A4C">
        <w:t xml:space="preserve">modificaciones </w:t>
      </w:r>
      <w:r w:rsidRPr="00B7376D">
        <w:t>en el s</w:t>
      </w:r>
      <w:r w:rsidR="00816D9B" w:rsidRPr="00DB2A4C">
        <w:t>istema</w:t>
      </w:r>
      <w:r>
        <w:t xml:space="preserve"> </w:t>
      </w:r>
      <w:r w:rsidR="004C4534">
        <w:t xml:space="preserve">al que hace referencia </w:t>
      </w:r>
      <w:r w:rsidR="00686B51">
        <w:t>a</w:t>
      </w:r>
      <w:r w:rsidR="004C4534">
        <w:t>l</w:t>
      </w:r>
      <w:r w:rsidR="00686B51">
        <w:t xml:space="preserve"> artículo</w:t>
      </w:r>
      <w:r w:rsidR="004C4534">
        <w:t xml:space="preserve"> 85 de la LFPRH, el SFU</w:t>
      </w:r>
      <w:r w:rsidR="00AC326A">
        <w:t>,</w:t>
      </w:r>
      <w:r w:rsidR="00DB2A4C">
        <w:t xml:space="preserve"> que derivaron en su composición actual:</w:t>
      </w:r>
    </w:p>
    <w:p w14:paraId="1A2DE96E" w14:textId="77777777" w:rsidR="00DB2A4C" w:rsidRPr="007014F5" w:rsidRDefault="00DB2A4C" w:rsidP="00DB2A4C">
      <w:pPr>
        <w:pStyle w:val="Tablas2"/>
        <w:rPr>
          <w:rStyle w:val="nfasissutil"/>
          <w:b/>
          <w:sz w:val="20"/>
          <w:szCs w:val="20"/>
        </w:rPr>
      </w:pPr>
      <w:r w:rsidRPr="007014F5">
        <w:rPr>
          <w:rStyle w:val="nfasissutil"/>
          <w:b/>
          <w:sz w:val="20"/>
          <w:szCs w:val="20"/>
        </w:rPr>
        <w:t xml:space="preserve">Tabla 1. Componentes del </w:t>
      </w:r>
      <w:r w:rsidR="001C58E0">
        <w:rPr>
          <w:rStyle w:val="nfasissutil"/>
          <w:b/>
          <w:sz w:val="20"/>
          <w:szCs w:val="20"/>
        </w:rPr>
        <w:t>SFU</w:t>
      </w:r>
    </w:p>
    <w:tbl>
      <w:tblPr>
        <w:tblStyle w:val="Tablaconcuadrcula"/>
        <w:tblW w:w="8504" w:type="dxa"/>
        <w:jc w:val="center"/>
        <w:shd w:val="clear" w:color="auto" w:fill="00853F"/>
        <w:tblLayout w:type="fixed"/>
        <w:tblLook w:val="04A0" w:firstRow="1" w:lastRow="0" w:firstColumn="1" w:lastColumn="0" w:noHBand="0" w:noVBand="1"/>
      </w:tblPr>
      <w:tblGrid>
        <w:gridCol w:w="1701"/>
        <w:gridCol w:w="1701"/>
        <w:gridCol w:w="5102"/>
      </w:tblGrid>
      <w:tr w:rsidR="00DB2A4C" w:rsidRPr="007014F5" w14:paraId="4BA2BA5F" w14:textId="77777777" w:rsidTr="009C4065">
        <w:trPr>
          <w:tblHeader/>
          <w:jc w:val="center"/>
        </w:trPr>
        <w:tc>
          <w:tcPr>
            <w:tcW w:w="1701" w:type="dxa"/>
            <w:shd w:val="clear" w:color="auto" w:fill="00853F"/>
            <w:vAlign w:val="center"/>
          </w:tcPr>
          <w:p w14:paraId="6E60DE40" w14:textId="77777777" w:rsidR="00DB2A4C" w:rsidRPr="007014F5" w:rsidRDefault="00DB2A4C" w:rsidP="00B747B1">
            <w:pPr>
              <w:spacing w:line="240" w:lineRule="auto"/>
              <w:jc w:val="center"/>
              <w:rPr>
                <w:i/>
                <w:color w:val="FFFFFF" w:themeColor="background1"/>
              </w:rPr>
            </w:pPr>
            <w:r w:rsidRPr="007014F5">
              <w:rPr>
                <w:b/>
                <w:i/>
                <w:color w:val="FFFFFF" w:themeColor="background1"/>
              </w:rPr>
              <w:t>Componente</w:t>
            </w:r>
          </w:p>
        </w:tc>
        <w:tc>
          <w:tcPr>
            <w:tcW w:w="1701" w:type="dxa"/>
            <w:shd w:val="clear" w:color="auto" w:fill="00853F"/>
          </w:tcPr>
          <w:p w14:paraId="153B38EC" w14:textId="77777777" w:rsidR="00DB2A4C" w:rsidRPr="007014F5" w:rsidRDefault="00DB2A4C" w:rsidP="00414D83">
            <w:pPr>
              <w:spacing w:line="240" w:lineRule="auto"/>
              <w:jc w:val="center"/>
              <w:rPr>
                <w:b/>
                <w:i/>
                <w:color w:val="FFFFFF" w:themeColor="background1"/>
              </w:rPr>
            </w:pPr>
            <w:r w:rsidRPr="007014F5">
              <w:rPr>
                <w:b/>
                <w:i/>
                <w:color w:val="FFFFFF" w:themeColor="background1"/>
              </w:rPr>
              <w:t>Permite conocer</w:t>
            </w:r>
          </w:p>
        </w:tc>
        <w:tc>
          <w:tcPr>
            <w:tcW w:w="5102" w:type="dxa"/>
            <w:shd w:val="clear" w:color="auto" w:fill="00853F"/>
            <w:vAlign w:val="center"/>
          </w:tcPr>
          <w:p w14:paraId="1C0374C0" w14:textId="77777777" w:rsidR="00DB2A4C" w:rsidRPr="007014F5" w:rsidRDefault="00DB2A4C" w:rsidP="009B4F45">
            <w:pPr>
              <w:spacing w:line="240" w:lineRule="auto"/>
              <w:jc w:val="center"/>
              <w:rPr>
                <w:b/>
                <w:i/>
                <w:color w:val="FFFFFF" w:themeColor="background1"/>
              </w:rPr>
            </w:pPr>
            <w:r w:rsidRPr="007014F5">
              <w:rPr>
                <w:b/>
                <w:i/>
                <w:color w:val="FFFFFF" w:themeColor="background1"/>
              </w:rPr>
              <w:t>Información que se registra</w:t>
            </w:r>
          </w:p>
        </w:tc>
      </w:tr>
      <w:tr w:rsidR="00DB2A4C" w:rsidRPr="007014F5" w14:paraId="14004397" w14:textId="77777777" w:rsidTr="00D03208">
        <w:trPr>
          <w:trHeight w:val="757"/>
          <w:jc w:val="center"/>
        </w:trPr>
        <w:tc>
          <w:tcPr>
            <w:tcW w:w="1701" w:type="dxa"/>
            <w:shd w:val="clear" w:color="auto" w:fill="00853F"/>
            <w:vAlign w:val="center"/>
          </w:tcPr>
          <w:p w14:paraId="3CD4B96F" w14:textId="77777777" w:rsidR="00DB2A4C" w:rsidRPr="007014F5" w:rsidRDefault="00DB2A4C" w:rsidP="00DB2A4C">
            <w:pPr>
              <w:contextualSpacing/>
              <w:jc w:val="center"/>
              <w:rPr>
                <w:i/>
                <w:color w:val="FFFFFF" w:themeColor="background1"/>
              </w:rPr>
            </w:pPr>
            <w:r w:rsidRPr="007014F5">
              <w:rPr>
                <w:i/>
                <w:color w:val="FFFFFF" w:themeColor="background1"/>
              </w:rPr>
              <w:t>Gestión de Proyectos</w:t>
            </w:r>
          </w:p>
        </w:tc>
        <w:tc>
          <w:tcPr>
            <w:tcW w:w="1701" w:type="dxa"/>
            <w:vAlign w:val="center"/>
          </w:tcPr>
          <w:p w14:paraId="47DAB8E1" w14:textId="77777777" w:rsidR="00DB2A4C" w:rsidRPr="00D03208" w:rsidRDefault="00D03208" w:rsidP="00D03208">
            <w:pPr>
              <w:contextualSpacing/>
              <w:jc w:val="center"/>
              <w:rPr>
                <w:i/>
                <w:lang w:val="es-ES"/>
              </w:rPr>
            </w:pPr>
            <w:r>
              <w:rPr>
                <w:i/>
                <w:lang w:val="es-ES"/>
              </w:rPr>
              <w:t>Destino</w:t>
            </w:r>
          </w:p>
        </w:tc>
        <w:tc>
          <w:tcPr>
            <w:tcW w:w="5102" w:type="dxa"/>
            <w:shd w:val="clear" w:color="auto" w:fill="auto"/>
          </w:tcPr>
          <w:p w14:paraId="2CF37C9C" w14:textId="77777777" w:rsidR="00DB2A4C" w:rsidRPr="007014F5" w:rsidRDefault="00D924A2" w:rsidP="00D03208">
            <w:pPr>
              <w:spacing w:line="240" w:lineRule="auto"/>
              <w:contextualSpacing/>
              <w:rPr>
                <w:i/>
              </w:rPr>
            </w:pPr>
            <w:r>
              <w:rPr>
                <w:i/>
                <w:lang w:val="es-ES"/>
              </w:rPr>
              <w:t>A</w:t>
            </w:r>
            <w:r w:rsidR="00DB2A4C" w:rsidRPr="007014F5">
              <w:rPr>
                <w:i/>
                <w:lang w:val="es-ES"/>
              </w:rPr>
              <w:t>vance físico y financiero, así como la localización de todos los proyectos de inversión financiados con recursos federales.</w:t>
            </w:r>
          </w:p>
        </w:tc>
      </w:tr>
      <w:tr w:rsidR="00DB2A4C" w:rsidRPr="007014F5" w14:paraId="684BC541" w14:textId="77777777" w:rsidTr="00DB2A4C">
        <w:trPr>
          <w:jc w:val="center"/>
        </w:trPr>
        <w:tc>
          <w:tcPr>
            <w:tcW w:w="1701" w:type="dxa"/>
            <w:shd w:val="clear" w:color="auto" w:fill="00853F"/>
            <w:vAlign w:val="center"/>
          </w:tcPr>
          <w:p w14:paraId="692DC64E" w14:textId="77777777" w:rsidR="00DB2A4C" w:rsidRPr="007014F5" w:rsidRDefault="00DB2A4C" w:rsidP="00DB2A4C">
            <w:pPr>
              <w:contextualSpacing/>
              <w:jc w:val="center"/>
              <w:rPr>
                <w:i/>
                <w:color w:val="FFFFFF" w:themeColor="background1"/>
              </w:rPr>
            </w:pPr>
            <w:r w:rsidRPr="007014F5">
              <w:rPr>
                <w:i/>
                <w:color w:val="FFFFFF" w:themeColor="background1"/>
              </w:rPr>
              <w:t>Avance Financiero</w:t>
            </w:r>
          </w:p>
        </w:tc>
        <w:tc>
          <w:tcPr>
            <w:tcW w:w="1701" w:type="dxa"/>
            <w:vAlign w:val="center"/>
          </w:tcPr>
          <w:p w14:paraId="1C1D7EFF" w14:textId="77777777" w:rsidR="00DB2A4C" w:rsidRPr="00D03208" w:rsidRDefault="00D03208" w:rsidP="00D03208">
            <w:pPr>
              <w:contextualSpacing/>
              <w:jc w:val="center"/>
              <w:rPr>
                <w:i/>
                <w:lang w:val="es-ES"/>
              </w:rPr>
            </w:pPr>
            <w:r>
              <w:rPr>
                <w:i/>
                <w:lang w:val="es-ES"/>
              </w:rPr>
              <w:t>Ejercicio</w:t>
            </w:r>
          </w:p>
        </w:tc>
        <w:tc>
          <w:tcPr>
            <w:tcW w:w="5102" w:type="dxa"/>
            <w:shd w:val="clear" w:color="auto" w:fill="auto"/>
          </w:tcPr>
          <w:p w14:paraId="329DBC41" w14:textId="77777777" w:rsidR="00DB2A4C" w:rsidRPr="007014F5" w:rsidRDefault="00D924A2" w:rsidP="00D03208">
            <w:pPr>
              <w:spacing w:line="240" w:lineRule="auto"/>
              <w:contextualSpacing/>
              <w:rPr>
                <w:i/>
              </w:rPr>
            </w:pPr>
            <w:r>
              <w:rPr>
                <w:i/>
                <w:lang w:val="es-ES_tradnl"/>
              </w:rPr>
              <w:t>A</w:t>
            </w:r>
            <w:r w:rsidR="00DB2A4C" w:rsidRPr="007014F5">
              <w:rPr>
                <w:i/>
                <w:lang w:val="es-ES_tradnl"/>
              </w:rPr>
              <w:t>vance financiero de la totalidad de los programas, fondos o convenios, desagregado por partida genérica.</w:t>
            </w:r>
          </w:p>
        </w:tc>
      </w:tr>
      <w:tr w:rsidR="00DB2A4C" w:rsidRPr="007014F5" w14:paraId="6819A2B2" w14:textId="77777777" w:rsidTr="00D03208">
        <w:trPr>
          <w:trHeight w:val="71"/>
          <w:jc w:val="center"/>
        </w:trPr>
        <w:tc>
          <w:tcPr>
            <w:tcW w:w="1701" w:type="dxa"/>
            <w:shd w:val="clear" w:color="auto" w:fill="00853F"/>
            <w:vAlign w:val="center"/>
          </w:tcPr>
          <w:p w14:paraId="3DDB3EEE" w14:textId="77777777" w:rsidR="00DB2A4C" w:rsidRPr="00D03208" w:rsidRDefault="00DB2A4C" w:rsidP="00D03208">
            <w:pPr>
              <w:spacing w:line="240" w:lineRule="auto"/>
              <w:jc w:val="center"/>
              <w:rPr>
                <w:bCs/>
                <w:i/>
                <w:lang w:val="es-ES_tradnl"/>
              </w:rPr>
            </w:pPr>
            <w:r w:rsidRPr="00D03208">
              <w:rPr>
                <w:bCs/>
                <w:i/>
                <w:color w:val="FFFFFF" w:themeColor="background1"/>
                <w:lang w:val="es-ES_tradnl"/>
              </w:rPr>
              <w:t>Indicadores</w:t>
            </w:r>
          </w:p>
        </w:tc>
        <w:tc>
          <w:tcPr>
            <w:tcW w:w="1701" w:type="dxa"/>
            <w:vAlign w:val="center"/>
          </w:tcPr>
          <w:p w14:paraId="1F0A1504" w14:textId="77777777" w:rsidR="00DB2A4C" w:rsidRPr="00D03208" w:rsidRDefault="00DB2A4C" w:rsidP="00D03208">
            <w:pPr>
              <w:spacing w:line="240" w:lineRule="auto"/>
              <w:jc w:val="center"/>
              <w:rPr>
                <w:bCs/>
                <w:i/>
                <w:lang w:val="es-ES_tradnl"/>
              </w:rPr>
            </w:pPr>
            <w:r w:rsidRPr="00D03208">
              <w:rPr>
                <w:bCs/>
                <w:i/>
                <w:lang w:val="es-ES_tradnl"/>
              </w:rPr>
              <w:t>Resultados</w:t>
            </w:r>
          </w:p>
        </w:tc>
        <w:tc>
          <w:tcPr>
            <w:tcW w:w="5102" w:type="dxa"/>
            <w:shd w:val="clear" w:color="auto" w:fill="auto"/>
            <w:vAlign w:val="center"/>
          </w:tcPr>
          <w:p w14:paraId="60D50B26" w14:textId="77777777" w:rsidR="00DB2A4C" w:rsidRPr="00D03208" w:rsidRDefault="00D924A2" w:rsidP="00D03208">
            <w:pPr>
              <w:spacing w:line="240" w:lineRule="auto"/>
              <w:jc w:val="center"/>
              <w:rPr>
                <w:bCs/>
                <w:i/>
                <w:lang w:val="es-ES_tradnl"/>
              </w:rPr>
            </w:pPr>
            <w:r>
              <w:rPr>
                <w:bCs/>
                <w:i/>
                <w:lang w:val="es-ES_tradnl"/>
              </w:rPr>
              <w:t>M</w:t>
            </w:r>
            <w:r w:rsidR="00DB2A4C" w:rsidRPr="001C58E0">
              <w:rPr>
                <w:bCs/>
                <w:i/>
                <w:lang w:val="es-ES_tradnl"/>
              </w:rPr>
              <w:t xml:space="preserve">etas y avances de los indicadores de los </w:t>
            </w:r>
            <w:r w:rsidR="00056F65">
              <w:rPr>
                <w:bCs/>
                <w:i/>
                <w:lang w:val="es-ES_tradnl"/>
              </w:rPr>
              <w:t>FAF</w:t>
            </w:r>
            <w:r w:rsidR="00DB2A4C" w:rsidRPr="001C58E0">
              <w:rPr>
                <w:bCs/>
                <w:i/>
                <w:lang w:val="es-ES_tradnl"/>
              </w:rPr>
              <w:t>.</w:t>
            </w:r>
          </w:p>
        </w:tc>
      </w:tr>
      <w:tr w:rsidR="00DB2A4C" w:rsidRPr="007014F5" w14:paraId="52C4EFDA" w14:textId="77777777" w:rsidTr="00DB2A4C">
        <w:trPr>
          <w:jc w:val="center"/>
        </w:trPr>
        <w:tc>
          <w:tcPr>
            <w:tcW w:w="1701" w:type="dxa"/>
            <w:shd w:val="clear" w:color="auto" w:fill="00853F"/>
            <w:vAlign w:val="center"/>
          </w:tcPr>
          <w:p w14:paraId="3A83641A" w14:textId="77777777" w:rsidR="00DB2A4C" w:rsidRPr="007014F5" w:rsidRDefault="00DB2A4C" w:rsidP="00DB2A4C">
            <w:pPr>
              <w:contextualSpacing/>
              <w:jc w:val="center"/>
              <w:rPr>
                <w:i/>
                <w:color w:val="FFFFFF" w:themeColor="background1"/>
              </w:rPr>
            </w:pPr>
            <w:r w:rsidRPr="007014F5">
              <w:rPr>
                <w:i/>
                <w:color w:val="FFFFFF" w:themeColor="background1"/>
              </w:rPr>
              <w:t>Evaluaciones</w:t>
            </w:r>
          </w:p>
        </w:tc>
        <w:tc>
          <w:tcPr>
            <w:tcW w:w="1701" w:type="dxa"/>
            <w:vAlign w:val="center"/>
          </w:tcPr>
          <w:p w14:paraId="5DA40053" w14:textId="77777777" w:rsidR="00DB2A4C" w:rsidRPr="001C58E0" w:rsidRDefault="00DB2A4C" w:rsidP="001C58E0">
            <w:pPr>
              <w:jc w:val="center"/>
              <w:rPr>
                <w:i/>
                <w:lang w:val="es-ES_tradnl"/>
              </w:rPr>
            </w:pPr>
            <w:r w:rsidRPr="001C58E0">
              <w:rPr>
                <w:i/>
                <w:lang w:val="es-ES"/>
              </w:rPr>
              <w:t>Resultados</w:t>
            </w:r>
          </w:p>
        </w:tc>
        <w:tc>
          <w:tcPr>
            <w:tcW w:w="5102" w:type="dxa"/>
            <w:shd w:val="clear" w:color="auto" w:fill="auto"/>
            <w:vAlign w:val="center"/>
          </w:tcPr>
          <w:p w14:paraId="77AD69E8" w14:textId="77777777" w:rsidR="00DB2A4C" w:rsidRPr="001C58E0" w:rsidRDefault="00D924A2" w:rsidP="001C58E0">
            <w:pPr>
              <w:spacing w:line="240" w:lineRule="auto"/>
              <w:rPr>
                <w:i/>
              </w:rPr>
            </w:pPr>
            <w:r>
              <w:rPr>
                <w:i/>
                <w:lang w:val="es-ES_tradnl"/>
              </w:rPr>
              <w:t>E</w:t>
            </w:r>
            <w:r w:rsidR="00DB2A4C" w:rsidRPr="001C58E0">
              <w:rPr>
                <w:i/>
                <w:lang w:val="es-ES_tradnl"/>
              </w:rPr>
              <w:t xml:space="preserve">valuaciones realizadas a </w:t>
            </w:r>
            <w:r w:rsidR="00232D50" w:rsidRPr="001C58E0">
              <w:rPr>
                <w:i/>
                <w:lang w:val="es-ES_tradnl"/>
              </w:rPr>
              <w:t xml:space="preserve">los </w:t>
            </w:r>
            <w:r w:rsidR="00DB2A4C" w:rsidRPr="001C58E0">
              <w:rPr>
                <w:i/>
                <w:lang w:val="es-ES_tradnl"/>
              </w:rPr>
              <w:t xml:space="preserve">programas </w:t>
            </w:r>
            <w:r w:rsidR="00232D50" w:rsidRPr="001C58E0">
              <w:rPr>
                <w:i/>
                <w:lang w:val="es-ES_tradnl"/>
              </w:rPr>
              <w:t xml:space="preserve">locales </w:t>
            </w:r>
            <w:r w:rsidR="00DB2A4C" w:rsidRPr="001C58E0">
              <w:rPr>
                <w:i/>
                <w:lang w:val="es-ES_tradnl"/>
              </w:rPr>
              <w:t xml:space="preserve">financiados con recursos federales </w:t>
            </w:r>
            <w:r w:rsidR="00232D50" w:rsidRPr="001C58E0">
              <w:rPr>
                <w:i/>
                <w:lang w:val="es-ES_tradnl"/>
              </w:rPr>
              <w:t>transferidos.</w:t>
            </w:r>
          </w:p>
        </w:tc>
      </w:tr>
    </w:tbl>
    <w:p w14:paraId="683260B9" w14:textId="77777777" w:rsidR="00DB2A4C" w:rsidRPr="00131EAE" w:rsidRDefault="00DB2A4C" w:rsidP="004A02AD">
      <w:pPr>
        <w:pStyle w:val="Notas"/>
        <w:ind w:left="142"/>
      </w:pPr>
      <w:r w:rsidRPr="00131EAE">
        <w:t>Fuente: Unidad de Evaluación del Desempeño, SHCP</w:t>
      </w:r>
      <w:r w:rsidR="004F3C1C">
        <w:t>.</w:t>
      </w:r>
    </w:p>
    <w:p w14:paraId="6FB593F0" w14:textId="77777777" w:rsidR="00DB2A4C" w:rsidRDefault="00DB2A4C" w:rsidP="00DB2A4C">
      <w:pPr>
        <w:spacing w:after="0"/>
      </w:pPr>
    </w:p>
    <w:p w14:paraId="23F94C42" w14:textId="77777777" w:rsidR="00DB2A4C" w:rsidRDefault="00DB2A4C" w:rsidP="00232D50">
      <w:pPr>
        <w:spacing w:after="0"/>
        <w:ind w:firstLine="708"/>
      </w:pPr>
      <w:r>
        <w:t>Derivado de lo anterior, la SHCP ha llevado a cabo una estrategia</w:t>
      </w:r>
      <w:r w:rsidRPr="00DB2A4C">
        <w:t xml:space="preserve"> para dar a conocer a </w:t>
      </w:r>
      <w:r>
        <w:t>los gobiernos locales</w:t>
      </w:r>
      <w:r w:rsidRPr="00DB2A4C">
        <w:t xml:space="preserve"> tales modificaciones</w:t>
      </w:r>
      <w:r w:rsidR="00911A65">
        <w:t xml:space="preserve"> atendiendo</w:t>
      </w:r>
      <w:r w:rsidRPr="00DB2A4C">
        <w:t xml:space="preserve"> solicitudes de capacitación presencial </w:t>
      </w:r>
      <w:r>
        <w:t xml:space="preserve">y a distancia </w:t>
      </w:r>
      <w:r w:rsidRPr="00DB2A4C">
        <w:t>de l</w:t>
      </w:r>
      <w:r w:rsidR="00D50266">
        <w:t>a</w:t>
      </w:r>
      <w:r w:rsidRPr="00DB2A4C">
        <w:t xml:space="preserve">s </w:t>
      </w:r>
      <w:r w:rsidR="00D50266">
        <w:t xml:space="preserve">secretarías de finanzas de los </w:t>
      </w:r>
      <w:r w:rsidRPr="00DB2A4C">
        <w:t xml:space="preserve">gobiernos </w:t>
      </w:r>
      <w:r w:rsidR="00D03208">
        <w:t>de las entidades federa</w:t>
      </w:r>
      <w:r w:rsidR="00AC326A">
        <w:t>tivas</w:t>
      </w:r>
      <w:r w:rsidR="00232D50">
        <w:t>, de los órganos de fiscalización local</w:t>
      </w:r>
      <w:r w:rsidR="00D50266">
        <w:t>es</w:t>
      </w:r>
      <w:r>
        <w:t xml:space="preserve"> y de la Auditoría Superior de la Federación</w:t>
      </w:r>
      <w:r w:rsidRPr="00DB2A4C">
        <w:t xml:space="preserve">. </w:t>
      </w:r>
      <w:r>
        <w:t>Así</w:t>
      </w:r>
      <w:r w:rsidRPr="00DB2A4C">
        <w:t xml:space="preserve">, </w:t>
      </w:r>
      <w:r>
        <w:t xml:space="preserve">del segundo trimestre de 2013 al </w:t>
      </w:r>
      <w:r w:rsidR="00D924A2">
        <w:t xml:space="preserve">cuarto </w:t>
      </w:r>
      <w:r>
        <w:t xml:space="preserve">trimestre de </w:t>
      </w:r>
      <w:r>
        <w:lastRenderedPageBreak/>
        <w:t xml:space="preserve">2015 </w:t>
      </w:r>
      <w:r w:rsidRPr="00C05D1B">
        <w:rPr>
          <w:b/>
        </w:rPr>
        <w:t xml:space="preserve">se ha capacitado a más de </w:t>
      </w:r>
      <w:r w:rsidR="00CC5D6A" w:rsidRPr="00C05D1B">
        <w:rPr>
          <w:b/>
        </w:rPr>
        <w:t>11,600</w:t>
      </w:r>
      <w:r w:rsidRPr="00C05D1B">
        <w:rPr>
          <w:b/>
        </w:rPr>
        <w:t xml:space="preserve"> servidores públicos sobre el uso del SFU</w:t>
      </w:r>
      <w:r w:rsidR="00195F3E">
        <w:t xml:space="preserve">, aunado a la integración de herramientas de auto-capacitación a distancia por medio de manuales y videos que han </w:t>
      </w:r>
      <w:r w:rsidR="00195F3E" w:rsidRPr="00077ED6">
        <w:t>sido consultados más de 1</w:t>
      </w:r>
      <w:r w:rsidR="00077ED6" w:rsidRPr="00077ED6">
        <w:t>3</w:t>
      </w:r>
      <w:r w:rsidR="00195F3E" w:rsidRPr="00077ED6">
        <w:t>,000 ocasiones</w:t>
      </w:r>
      <w:r w:rsidRPr="00077ED6">
        <w:t>.</w:t>
      </w:r>
      <w:r w:rsidR="004C4534" w:rsidRPr="00077ED6">
        <w:rPr>
          <w:rStyle w:val="Refdenotaalpie"/>
        </w:rPr>
        <w:footnoteReference w:id="2"/>
      </w:r>
    </w:p>
    <w:p w14:paraId="2DEF5360" w14:textId="77777777" w:rsidR="0022526F" w:rsidRDefault="0031631D" w:rsidP="00471D68">
      <w:r>
        <w:tab/>
      </w:r>
      <w:r w:rsidR="00B53681">
        <w:t xml:space="preserve">Por otro lado, con la finalidad de dar un puntual seguimiento a la </w:t>
      </w:r>
      <w:r w:rsidR="00A873EB">
        <w:t xml:space="preserve">calidad de la información, </w:t>
      </w:r>
      <w:r w:rsidR="00077ED6">
        <w:t xml:space="preserve">la SHCP </w:t>
      </w:r>
      <w:r w:rsidR="007261A7">
        <w:t>desarrolló</w:t>
      </w:r>
      <w:r w:rsidR="00077ED6">
        <w:t xml:space="preserve"> el </w:t>
      </w:r>
      <w:r w:rsidR="00A873EB" w:rsidRPr="007A39DF">
        <w:rPr>
          <w:b/>
        </w:rPr>
        <w:t>ICI</w:t>
      </w:r>
      <w:r w:rsidR="00F95BE0">
        <w:t>,</w:t>
      </w:r>
      <w:r w:rsidR="00A873EB">
        <w:rPr>
          <w:rStyle w:val="Refdenotaalpie"/>
        </w:rPr>
        <w:t xml:space="preserve"> </w:t>
      </w:r>
      <w:r w:rsidR="00424DD2">
        <w:t>cuyo objetivo es</w:t>
      </w:r>
      <w:r w:rsidR="00F95BE0">
        <w:t xml:space="preserve"> </w:t>
      </w:r>
      <w:r w:rsidR="00424DD2">
        <w:t>me</w:t>
      </w:r>
      <w:r w:rsidR="00F95BE0">
        <w:t>d</w:t>
      </w:r>
      <w:r w:rsidR="00424DD2">
        <w:t>ir</w:t>
      </w:r>
      <w:r w:rsidR="00A873EB">
        <w:t xml:space="preserve"> </w:t>
      </w:r>
      <w:r w:rsidR="004F3C1C">
        <w:t xml:space="preserve">(con un rango donde cero es el </w:t>
      </w:r>
      <w:r w:rsidR="008244AB">
        <w:t xml:space="preserve">valor </w:t>
      </w:r>
      <w:r w:rsidR="004F3C1C">
        <w:t>mínimo y 1 el máximo)</w:t>
      </w:r>
      <w:r w:rsidR="00A873EB">
        <w:t xml:space="preserve"> si la información capturada y validada </w:t>
      </w:r>
      <w:r w:rsidR="00F95BE0">
        <w:t>por los gobiernos locales cada</w:t>
      </w:r>
      <w:r w:rsidR="00A873EB">
        <w:t xml:space="preserve"> trimestre cumple con los criterios </w:t>
      </w:r>
      <w:r w:rsidR="00F95BE0">
        <w:t xml:space="preserve">mínimos </w:t>
      </w:r>
      <w:r w:rsidR="00A873EB">
        <w:t xml:space="preserve">de calidad requeridos en el informe </w:t>
      </w:r>
      <w:r w:rsidR="00424DD2">
        <w:t xml:space="preserve">sobre el </w:t>
      </w:r>
      <w:r w:rsidR="00A873EB">
        <w:t>ejercicio, destino y resultados de los recursos federales transferidos</w:t>
      </w:r>
      <w:r w:rsidR="0097467D">
        <w:t xml:space="preserve">. </w:t>
      </w:r>
      <w:r w:rsidR="004F3C1C">
        <w:t>Lo anterior, a través del siguiente análisis</w:t>
      </w:r>
      <w:r w:rsidR="004F3C1C">
        <w:rPr>
          <w:rStyle w:val="Refdenotaalpie"/>
        </w:rPr>
        <w:footnoteReference w:id="3"/>
      </w:r>
      <w:r w:rsidR="00D77A7A">
        <w:t xml:space="preserve">: </w:t>
      </w:r>
    </w:p>
    <w:p w14:paraId="515E43B8" w14:textId="77777777" w:rsidR="001F0C1C" w:rsidRDefault="00D77A7A" w:rsidP="00C85958">
      <w:pPr>
        <w:pStyle w:val="Prrafodelista"/>
        <w:numPr>
          <w:ilvl w:val="0"/>
          <w:numId w:val="16"/>
        </w:numPr>
        <w:spacing w:after="0"/>
      </w:pPr>
      <w:r w:rsidRPr="004A02AD">
        <w:rPr>
          <w:b/>
        </w:rPr>
        <w:t>Gestión de Proyectos de Inversión</w:t>
      </w:r>
      <w:r w:rsidR="00C32679" w:rsidRPr="004A02AD">
        <w:rPr>
          <w:b/>
        </w:rPr>
        <w:t>.</w:t>
      </w:r>
      <w:r w:rsidR="00AC28C9">
        <w:t xml:space="preserve"> </w:t>
      </w:r>
      <w:r w:rsidR="004F3C1C">
        <w:t>Se valora</w:t>
      </w:r>
      <w:r w:rsidR="00AC28C9">
        <w:t xml:space="preserve"> si los gobiernos estatales </w:t>
      </w:r>
      <w:r w:rsidR="00077ED6">
        <w:t>dan</w:t>
      </w:r>
      <w:r w:rsidR="00AC28C9">
        <w:t xml:space="preserve"> </w:t>
      </w:r>
      <w:r w:rsidR="008244AB">
        <w:t xml:space="preserve">adecuado </w:t>
      </w:r>
      <w:r w:rsidR="00AC28C9">
        <w:t xml:space="preserve">seguimiento trimestral a los programas y proyectos de inversión financiados con recursos federales, </w:t>
      </w:r>
      <w:r w:rsidR="004F3C1C">
        <w:t>relacionando</w:t>
      </w:r>
      <w:r w:rsidR="001F0C1C">
        <w:t xml:space="preserve"> </w:t>
      </w:r>
      <w:r w:rsidR="00AC28C9">
        <w:t xml:space="preserve">los </w:t>
      </w:r>
      <w:r w:rsidR="00AC28C9" w:rsidRPr="00852D19">
        <w:t xml:space="preserve">proyectos que concluyeron de forma satisfactoria con </w:t>
      </w:r>
      <w:r w:rsidR="00AC28C9">
        <w:t>el</w:t>
      </w:r>
      <w:r w:rsidR="00AC28C9" w:rsidRPr="00852D19">
        <w:t xml:space="preserve"> proceso de validación</w:t>
      </w:r>
      <w:r w:rsidR="00AC28C9">
        <w:t xml:space="preserve"> y </w:t>
      </w:r>
      <w:r w:rsidR="00AC28C9" w:rsidRPr="00852D19">
        <w:t xml:space="preserve">aquellos </w:t>
      </w:r>
      <w:r w:rsidR="00AC28C9">
        <w:t xml:space="preserve">proyectos </w:t>
      </w:r>
      <w:r w:rsidR="004F3C1C">
        <w:t>reportados con el estatus de “</w:t>
      </w:r>
      <w:r w:rsidR="00AC28C9">
        <w:t>en ejecució</w:t>
      </w:r>
      <w:r w:rsidR="001F0C1C">
        <w:t>n</w:t>
      </w:r>
      <w:r w:rsidR="004F3C1C">
        <w:t>”</w:t>
      </w:r>
      <w:r w:rsidR="001F0C1C">
        <w:t xml:space="preserve">. </w:t>
      </w:r>
      <w:r w:rsidR="004F3C1C">
        <w:t xml:space="preserve">Es decir, nos permite conocer a qué porcentaje de </w:t>
      </w:r>
      <w:r w:rsidR="001F0C1C">
        <w:t xml:space="preserve">proyectos </w:t>
      </w:r>
      <w:r w:rsidR="004F3C1C">
        <w:t>reportados</w:t>
      </w:r>
      <w:r w:rsidR="00872F3E">
        <w:t xml:space="preserve"> </w:t>
      </w:r>
      <w:r w:rsidR="00077ED6">
        <w:t xml:space="preserve">como </w:t>
      </w:r>
      <w:r w:rsidR="004F3C1C">
        <w:t>activos en el SFU se les está dando seguimiento</w:t>
      </w:r>
      <w:r w:rsidR="00AC326A" w:rsidRPr="00AC326A">
        <w:t xml:space="preserve"> </w:t>
      </w:r>
      <w:r w:rsidR="00AC326A">
        <w:t>adecuado</w:t>
      </w:r>
      <w:r w:rsidR="004F3C1C">
        <w:t xml:space="preserve">. </w:t>
      </w:r>
    </w:p>
    <w:p w14:paraId="2858CC60" w14:textId="77777777" w:rsidR="001F0C1C" w:rsidRDefault="001F0C1C" w:rsidP="00C85958">
      <w:pPr>
        <w:pStyle w:val="Prrafodelista"/>
        <w:numPr>
          <w:ilvl w:val="0"/>
          <w:numId w:val="16"/>
        </w:numPr>
      </w:pPr>
      <w:r w:rsidRPr="004A02AD">
        <w:rPr>
          <w:b/>
        </w:rPr>
        <w:t>Avance Financiero.</w:t>
      </w:r>
      <w:r>
        <w:t xml:space="preserve"> </w:t>
      </w:r>
      <w:r w:rsidR="00424DD2">
        <w:t>S</w:t>
      </w:r>
      <w:r>
        <w:t xml:space="preserve">e identifican las diferencias entre lo que </w:t>
      </w:r>
      <w:r w:rsidR="004C4534">
        <w:t xml:space="preserve">la SHCP transfirió </w:t>
      </w:r>
      <w:r w:rsidR="00056F65">
        <w:t xml:space="preserve">a las entidades federativas </w:t>
      </w:r>
      <w:r w:rsidR="004C4534">
        <w:t xml:space="preserve">en el periodo </w:t>
      </w:r>
      <w:r w:rsidR="00AC326A">
        <w:t xml:space="preserve">por concepto de cada uno de los programas presupuestarios </w:t>
      </w:r>
      <w:r w:rsidR="004C4534">
        <w:t>y lo que</w:t>
      </w:r>
      <w:r w:rsidR="004C4534" w:rsidDel="00424DD2">
        <w:t xml:space="preserve"> </w:t>
      </w:r>
      <w:r w:rsidR="00424DD2">
        <w:t>la</w:t>
      </w:r>
      <w:r w:rsidR="00C32679">
        <w:t>s</w:t>
      </w:r>
      <w:r w:rsidR="00424DD2">
        <w:t xml:space="preserve"> </w:t>
      </w:r>
      <w:r w:rsidR="00AC326A">
        <w:t>s</w:t>
      </w:r>
      <w:r w:rsidR="00424DD2">
        <w:t>ecretaría</w:t>
      </w:r>
      <w:r w:rsidR="00C32679">
        <w:t>s</w:t>
      </w:r>
      <w:r w:rsidR="00424DD2">
        <w:t xml:space="preserve"> de </w:t>
      </w:r>
      <w:r w:rsidR="00AC326A">
        <w:t>f</w:t>
      </w:r>
      <w:r w:rsidR="00424DD2">
        <w:t>inanzas (o análoga</w:t>
      </w:r>
      <w:r w:rsidR="004F3C1C">
        <w:t>s</w:t>
      </w:r>
      <w:r w:rsidR="00424DD2">
        <w:t>)</w:t>
      </w:r>
      <w:r w:rsidR="00056F65">
        <w:t xml:space="preserve"> </w:t>
      </w:r>
      <w:r>
        <w:t xml:space="preserve">reportan como recaudado </w:t>
      </w:r>
      <w:r w:rsidR="00AC326A">
        <w:t>en cada uno de ellos</w:t>
      </w:r>
      <w:r w:rsidR="004C4534">
        <w:t>.</w:t>
      </w:r>
    </w:p>
    <w:p w14:paraId="71A5533E" w14:textId="77777777" w:rsidR="00590041" w:rsidRDefault="00471D68" w:rsidP="00590041">
      <w:pPr>
        <w:pStyle w:val="Prrafodelista"/>
        <w:numPr>
          <w:ilvl w:val="0"/>
          <w:numId w:val="16"/>
        </w:numPr>
      </w:pPr>
      <w:r w:rsidRPr="004A02AD">
        <w:rPr>
          <w:b/>
        </w:rPr>
        <w:t>Indicadores</w:t>
      </w:r>
      <w:r w:rsidR="00C32679" w:rsidRPr="004A02AD">
        <w:rPr>
          <w:b/>
        </w:rPr>
        <w:t>.</w:t>
      </w:r>
      <w:r>
        <w:t xml:space="preserve"> </w:t>
      </w:r>
      <w:r w:rsidR="00C32679">
        <w:t>C</w:t>
      </w:r>
      <w:r>
        <w:t>on el propósito de valorar el cumplimiento de l</w:t>
      </w:r>
      <w:r w:rsidR="00056F65">
        <w:t>os objetivos que persigue cada FAF</w:t>
      </w:r>
      <w:r>
        <w:t xml:space="preserve">, este componente </w:t>
      </w:r>
      <w:r w:rsidR="00872F3E">
        <w:t>recopila</w:t>
      </w:r>
      <w:r w:rsidRPr="0022526F">
        <w:t xml:space="preserve"> las metas y avances de los</w:t>
      </w:r>
      <w:r>
        <w:t xml:space="preserve"> indicadores definidos por las d</w:t>
      </w:r>
      <w:r w:rsidRPr="0022526F">
        <w:t>ep</w:t>
      </w:r>
      <w:r>
        <w:t xml:space="preserve">endencias coordinadoras de </w:t>
      </w:r>
      <w:r w:rsidR="00EF2116">
        <w:t xml:space="preserve">dichos </w:t>
      </w:r>
      <w:r>
        <w:t>f</w:t>
      </w:r>
      <w:r w:rsidRPr="0022526F">
        <w:t xml:space="preserve">ondos. Por medio de esta variable es posible conocer la proporción de </w:t>
      </w:r>
      <w:r w:rsidRPr="006661FA">
        <w:t>registros que no se</w:t>
      </w:r>
      <w:r w:rsidRPr="0022526F">
        <w:t xml:space="preserve"> </w:t>
      </w:r>
      <w:r>
        <w:t>realizaron</w:t>
      </w:r>
      <w:r w:rsidRPr="0022526F">
        <w:t xml:space="preserve"> o que presentan inconsistencias</w:t>
      </w:r>
      <w:r>
        <w:t>,</w:t>
      </w:r>
      <w:r w:rsidRPr="0022526F">
        <w:t xml:space="preserve"> </w:t>
      </w:r>
      <w:r>
        <w:t xml:space="preserve">respecto al </w:t>
      </w:r>
      <w:r w:rsidRPr="0022526F">
        <w:t>to</w:t>
      </w:r>
      <w:r>
        <w:t xml:space="preserve">tal de los registros a </w:t>
      </w:r>
      <w:r>
        <w:lastRenderedPageBreak/>
        <w:t xml:space="preserve">realizar. Las inconsistencias se </w:t>
      </w:r>
      <w:r w:rsidR="00AC326A">
        <w:t>refieren al</w:t>
      </w:r>
      <w:r>
        <w:t xml:space="preserve"> </w:t>
      </w:r>
      <w:r w:rsidR="00686B51">
        <w:t>in</w:t>
      </w:r>
      <w:r w:rsidR="00872F3E">
        <w:t>correcto</w:t>
      </w:r>
      <w:r w:rsidRPr="001E18DD">
        <w:t xml:space="preserve"> cálculo </w:t>
      </w:r>
      <w:r w:rsidR="00872F3E">
        <w:t>de</w:t>
      </w:r>
      <w:r w:rsidRPr="001E18DD">
        <w:t xml:space="preserve"> </w:t>
      </w:r>
      <w:r>
        <w:t>cada indicador</w:t>
      </w:r>
      <w:r w:rsidR="00872F3E">
        <w:t xml:space="preserve">, </w:t>
      </w:r>
      <w:r w:rsidR="00AC326A">
        <w:t>tomando en consideración las metas planeadas y alcanzadas</w:t>
      </w:r>
      <w:r>
        <w:t>.</w:t>
      </w:r>
    </w:p>
    <w:p w14:paraId="7DCBF051" w14:textId="77777777" w:rsidR="000C6AF1" w:rsidRDefault="00A873EB" w:rsidP="008244AB">
      <w:pPr>
        <w:spacing w:after="0"/>
        <w:ind w:firstLine="709"/>
      </w:pPr>
      <w:r>
        <w:t>Cabe destacar que este documento fue preparado utilizando l</w:t>
      </w:r>
      <w:r w:rsidR="007261A7">
        <w:t>a información reportada a través</w:t>
      </w:r>
      <w:r>
        <w:t xml:space="preserve"> del </w:t>
      </w:r>
      <w:r w:rsidR="007261A7">
        <w:t>SFU para el informe correspondiente</w:t>
      </w:r>
      <w:r>
        <w:t xml:space="preserve"> al </w:t>
      </w:r>
      <w:r w:rsidR="008B3CC8">
        <w:t xml:space="preserve">cuarto </w:t>
      </w:r>
      <w:r>
        <w:t>trimestre de 2015</w:t>
      </w:r>
      <w:r>
        <w:rPr>
          <w:rStyle w:val="Refdenotaalpie"/>
        </w:rPr>
        <w:footnoteReference w:id="4"/>
      </w:r>
      <w:r>
        <w:t>.</w:t>
      </w:r>
    </w:p>
    <w:p w14:paraId="13CF3D01" w14:textId="77777777" w:rsidR="001A6049" w:rsidRDefault="001A6049">
      <w:pPr>
        <w:jc w:val="left"/>
      </w:pPr>
      <w:r>
        <w:br w:type="page"/>
      </w:r>
    </w:p>
    <w:p w14:paraId="1064004B" w14:textId="77777777" w:rsidR="0099621A" w:rsidRPr="0099621A" w:rsidRDefault="00DD0FBD" w:rsidP="00471D68">
      <w:pPr>
        <w:pStyle w:val="Ttulo1"/>
      </w:pPr>
      <w:bookmarkStart w:id="4" w:name="_Toc398049219"/>
      <w:bookmarkStart w:id="5" w:name="_Toc447904077"/>
      <w:r w:rsidRPr="001D2EBA">
        <w:lastRenderedPageBreak/>
        <w:t>Diagnó</w:t>
      </w:r>
      <w:r w:rsidR="0099621A" w:rsidRPr="001D2EBA">
        <w:t>stico</w:t>
      </w:r>
      <w:bookmarkEnd w:id="5"/>
    </w:p>
    <w:p w14:paraId="676C082C" w14:textId="77777777" w:rsidR="0099621A" w:rsidRDefault="007B27AB" w:rsidP="00133693">
      <w:pPr>
        <w:pStyle w:val="Ttulo2"/>
      </w:pPr>
      <w:bookmarkStart w:id="6" w:name="_Toc447904078"/>
      <w:bookmarkEnd w:id="4"/>
      <w:r>
        <w:t>Tendencias en el reporte a nivel n</w:t>
      </w:r>
      <w:r w:rsidR="0099621A">
        <w:t>acional.</w:t>
      </w:r>
      <w:bookmarkEnd w:id="6"/>
    </w:p>
    <w:p w14:paraId="36827267" w14:textId="77777777" w:rsidR="00022854" w:rsidRDefault="004F3C1C" w:rsidP="001E7EF1">
      <w:pPr>
        <w:spacing w:after="0"/>
      </w:pPr>
      <w:r>
        <w:t>Como</w:t>
      </w:r>
      <w:r w:rsidR="00022854">
        <w:t xml:space="preserve"> se mencionó anteriormente, </w:t>
      </w:r>
      <w:r>
        <w:t>la integración del ICI</w:t>
      </w:r>
      <w:r w:rsidR="00022854">
        <w:t xml:space="preserve"> </w:t>
      </w:r>
      <w:r>
        <w:t>constituye</w:t>
      </w:r>
      <w:r w:rsidR="00022854">
        <w:t xml:space="preserve"> un avance </w:t>
      </w:r>
      <w:r>
        <w:t xml:space="preserve">en el seguimiento del gasto federalizado, ya </w:t>
      </w:r>
      <w:r w:rsidR="00022854">
        <w:t xml:space="preserve">que permite identificar fortalezas y áreas de oportunidad en el reporte </w:t>
      </w:r>
      <w:r>
        <w:t>de ejecución del mismo</w:t>
      </w:r>
      <w:r w:rsidR="00022854">
        <w:t xml:space="preserve">. </w:t>
      </w:r>
      <w:r>
        <w:t>Así, observamos que</w:t>
      </w:r>
      <w:r w:rsidR="000C587B">
        <w:t>,</w:t>
      </w:r>
      <w:r>
        <w:t xml:space="preserve"> desde su cálculo</w:t>
      </w:r>
      <w:r w:rsidR="00AB4AE7">
        <w:t xml:space="preserve"> inicial</w:t>
      </w:r>
      <w:r>
        <w:t xml:space="preserve"> en el segundo trimestre de 2014</w:t>
      </w:r>
      <w:r w:rsidR="000C587B">
        <w:t>,</w:t>
      </w:r>
      <w:r>
        <w:t xml:space="preserve"> existe</w:t>
      </w:r>
      <w:r w:rsidR="00022854">
        <w:t xml:space="preserve"> una tendencia positiva de la calidad de la información, que ha pasado de</w:t>
      </w:r>
      <w:r w:rsidR="00C21D05">
        <w:t xml:space="preserve"> un valor de</w:t>
      </w:r>
      <w:r w:rsidR="00685D08">
        <w:t xml:space="preserve"> 0.45</w:t>
      </w:r>
      <w:r w:rsidR="004C4534">
        <w:t xml:space="preserve"> (línea base)</w:t>
      </w:r>
      <w:r w:rsidR="00022854">
        <w:t xml:space="preserve"> a </w:t>
      </w:r>
      <w:r w:rsidR="00685D08">
        <w:t>0.</w:t>
      </w:r>
      <w:r w:rsidR="004D6BFA">
        <w:t>63</w:t>
      </w:r>
      <w:r w:rsidR="00022854">
        <w:t xml:space="preserve"> </w:t>
      </w:r>
      <w:r w:rsidR="004C4534">
        <w:t>(</w:t>
      </w:r>
      <w:r w:rsidR="0071789E">
        <w:t xml:space="preserve">cuarto </w:t>
      </w:r>
      <w:r w:rsidR="00022854" w:rsidRPr="00685D08">
        <w:t>trimestre de 2015</w:t>
      </w:r>
      <w:r w:rsidR="004C4534">
        <w:t>)</w:t>
      </w:r>
      <w:r w:rsidR="00022854" w:rsidRPr="00685D08">
        <w:t>.</w:t>
      </w:r>
    </w:p>
    <w:p w14:paraId="456B9AE8" w14:textId="77777777" w:rsidR="00DC065A" w:rsidRPr="0097032E" w:rsidRDefault="00DC065A" w:rsidP="0097032E">
      <w:pPr>
        <w:spacing w:after="0"/>
        <w:jc w:val="center"/>
        <w:rPr>
          <w:rFonts w:eastAsia="Times New Roman" w:cs="Times New Roman"/>
          <w:b/>
          <w:bCs/>
          <w:color w:val="000000"/>
          <w:sz w:val="20"/>
          <w:szCs w:val="20"/>
        </w:rPr>
      </w:pPr>
    </w:p>
    <w:p w14:paraId="4C2286AE" w14:textId="77777777" w:rsidR="00E80C3A" w:rsidRDefault="00DC065A" w:rsidP="00DC065A">
      <w:pPr>
        <w:spacing w:after="0"/>
        <w:jc w:val="center"/>
        <w:rPr>
          <w:rFonts w:eastAsia="Times New Roman" w:cs="Times New Roman"/>
          <w:b/>
          <w:bCs/>
          <w:color w:val="000000"/>
          <w:sz w:val="20"/>
          <w:szCs w:val="20"/>
        </w:rPr>
      </w:pPr>
      <w:r w:rsidRPr="0097032E">
        <w:rPr>
          <w:rFonts w:eastAsia="Times New Roman" w:cs="Times New Roman"/>
          <w:b/>
          <w:bCs/>
          <w:color w:val="000000"/>
          <w:sz w:val="20"/>
          <w:szCs w:val="20"/>
        </w:rPr>
        <w:t xml:space="preserve">Gráfico 1. </w:t>
      </w:r>
      <w:r w:rsidR="00C1345B">
        <w:rPr>
          <w:rFonts w:eastAsia="Times New Roman" w:cs="Times New Roman"/>
          <w:b/>
          <w:bCs/>
          <w:color w:val="000000"/>
          <w:sz w:val="20"/>
          <w:szCs w:val="20"/>
        </w:rPr>
        <w:t>Evolución del</w:t>
      </w:r>
      <w:r w:rsidR="00C1345B" w:rsidRPr="0097032E">
        <w:rPr>
          <w:rFonts w:eastAsia="Times New Roman" w:cs="Times New Roman"/>
          <w:b/>
          <w:bCs/>
          <w:color w:val="000000"/>
          <w:sz w:val="20"/>
          <w:szCs w:val="20"/>
        </w:rPr>
        <w:t xml:space="preserve"> </w:t>
      </w:r>
      <w:r w:rsidRPr="0097032E">
        <w:rPr>
          <w:rFonts w:eastAsia="Times New Roman" w:cs="Times New Roman"/>
          <w:b/>
          <w:bCs/>
          <w:color w:val="000000"/>
          <w:sz w:val="20"/>
          <w:szCs w:val="20"/>
        </w:rPr>
        <w:t>Índice de Calidad de la Información</w:t>
      </w:r>
      <w:r w:rsidR="007261A7">
        <w:rPr>
          <w:rFonts w:eastAsia="Times New Roman" w:cs="Times New Roman"/>
          <w:b/>
          <w:bCs/>
          <w:color w:val="000000"/>
          <w:sz w:val="20"/>
          <w:szCs w:val="20"/>
        </w:rPr>
        <w:t xml:space="preserve"> (promedio nacional)</w:t>
      </w:r>
    </w:p>
    <w:p w14:paraId="6395973A" w14:textId="77777777" w:rsidR="0071789E" w:rsidRPr="0097032E" w:rsidRDefault="004D6BFA">
      <w:pPr>
        <w:spacing w:after="0"/>
        <w:jc w:val="center"/>
        <w:rPr>
          <w:rFonts w:eastAsia="Times New Roman" w:cs="Times New Roman"/>
          <w:b/>
          <w:bCs/>
          <w:color w:val="000000"/>
          <w:sz w:val="20"/>
          <w:szCs w:val="20"/>
        </w:rPr>
      </w:pPr>
      <w:r>
        <w:rPr>
          <w:noProof/>
        </w:rPr>
        <w:drawing>
          <wp:inline distT="0" distB="0" distL="0" distR="0" wp14:anchorId="5E5C6546" wp14:editId="19A60BCB">
            <wp:extent cx="5612130" cy="2428240"/>
            <wp:effectExtent l="0" t="0" r="7620" b="1016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D779FD" w14:textId="77777777" w:rsidR="003E67E6" w:rsidRDefault="00830DDD" w:rsidP="00C21D05">
      <w:pPr>
        <w:pStyle w:val="Notas"/>
        <w:tabs>
          <w:tab w:val="left" w:pos="1928"/>
          <w:tab w:val="center" w:pos="4419"/>
        </w:tabs>
        <w:spacing w:line="240" w:lineRule="atLeast"/>
      </w:pPr>
      <w:r w:rsidRPr="00131EAE">
        <w:t>Fuente: Unidad de Evaluación del Desempeño, SHCP</w:t>
      </w:r>
    </w:p>
    <w:p w14:paraId="716FCAA8" w14:textId="77777777" w:rsidR="00F00F6E" w:rsidRDefault="00F00F6E" w:rsidP="00A76F1C">
      <w:pPr>
        <w:pStyle w:val="Notas"/>
        <w:tabs>
          <w:tab w:val="left" w:pos="1928"/>
          <w:tab w:val="center" w:pos="4419"/>
        </w:tabs>
        <w:spacing w:line="240" w:lineRule="atLeast"/>
      </w:pPr>
    </w:p>
    <w:p w14:paraId="68BE70A9" w14:textId="77777777" w:rsidR="00D65A4A" w:rsidRDefault="007D78F9" w:rsidP="00B86A00">
      <w:pPr>
        <w:spacing w:after="0"/>
        <w:ind w:firstLine="709"/>
      </w:pPr>
      <w:r>
        <w:t xml:space="preserve">Por otro lado, </w:t>
      </w:r>
      <w:r w:rsidR="000A4EC1">
        <w:t xml:space="preserve">los datos muestran que </w:t>
      </w:r>
      <w:r>
        <w:t>l</w:t>
      </w:r>
      <w:r w:rsidR="000076F8">
        <w:t xml:space="preserve">a </w:t>
      </w:r>
      <w:r>
        <w:t xml:space="preserve">calidad </w:t>
      </w:r>
      <w:r w:rsidR="000076F8">
        <w:t xml:space="preserve">de la información reportada </w:t>
      </w:r>
      <w:r w:rsidR="00EE1583">
        <w:t>durante</w:t>
      </w:r>
      <w:r w:rsidR="008A0B28">
        <w:t xml:space="preserve"> </w:t>
      </w:r>
      <w:r w:rsidR="000076F8">
        <w:t>los cuatro trimestres de</w:t>
      </w:r>
      <w:r w:rsidR="00EE1583">
        <w:t xml:space="preserve"> </w:t>
      </w:r>
      <w:r w:rsidR="00C21D05">
        <w:t xml:space="preserve">2015 </w:t>
      </w:r>
      <w:r w:rsidR="007B27AB">
        <w:t>ha variado</w:t>
      </w:r>
      <w:r w:rsidR="00E8635E">
        <w:t>,</w:t>
      </w:r>
      <w:r w:rsidR="000076F8">
        <w:t xml:space="preserve"> </w:t>
      </w:r>
      <w:r w:rsidR="007B27AB">
        <w:t xml:space="preserve">evidenciándose </w:t>
      </w:r>
      <w:r w:rsidR="000C587B">
        <w:t xml:space="preserve">la </w:t>
      </w:r>
      <w:r w:rsidR="007B27AB">
        <w:t xml:space="preserve">menor </w:t>
      </w:r>
      <w:r w:rsidR="000C587B">
        <w:t>calidad en el</w:t>
      </w:r>
      <w:r w:rsidR="007B27AB">
        <w:t xml:space="preserve"> reporte </w:t>
      </w:r>
      <w:r w:rsidR="00686B51">
        <w:t>del</w:t>
      </w:r>
      <w:r w:rsidR="007B27AB">
        <w:t xml:space="preserve"> </w:t>
      </w:r>
      <w:r w:rsidR="00133693">
        <w:t>primer t</w:t>
      </w:r>
      <w:r w:rsidR="00E8635E">
        <w:t>rimestre</w:t>
      </w:r>
      <w:r w:rsidR="007261A7">
        <w:t xml:space="preserve">, con una disminución del </w:t>
      </w:r>
      <w:r w:rsidR="006A566C" w:rsidRPr="009B508D">
        <w:t>16%</w:t>
      </w:r>
      <w:r w:rsidR="007261A7">
        <w:t xml:space="preserve"> con respecto al</w:t>
      </w:r>
      <w:r w:rsidR="004D48A0" w:rsidRPr="009C4065">
        <w:t xml:space="preserve"> trimestre </w:t>
      </w:r>
      <w:r w:rsidR="007261A7">
        <w:t>anterior. Lo anterior,</w:t>
      </w:r>
      <w:r w:rsidR="00A556E6">
        <w:t xml:space="preserve"> constituye </w:t>
      </w:r>
      <w:r w:rsidR="007B27AB">
        <w:t xml:space="preserve">un </w:t>
      </w:r>
      <w:r w:rsidR="007A39DF">
        <w:t>retroceso</w:t>
      </w:r>
      <w:r w:rsidR="007B27AB">
        <w:t xml:space="preserve"> importante, ya que el </w:t>
      </w:r>
      <w:r w:rsidR="007B27AB" w:rsidRPr="00C85958">
        <w:rPr>
          <w:b/>
        </w:rPr>
        <w:t>primer trimestre es el punto de partida para el avance anual</w:t>
      </w:r>
      <w:r w:rsidR="0031631D">
        <w:t>.</w:t>
      </w:r>
      <w:r w:rsidR="007B27AB">
        <w:t xml:space="preserve"> </w:t>
      </w:r>
      <w:r w:rsidR="0031631D">
        <w:t>A</w:t>
      </w:r>
      <w:r w:rsidR="007B27AB">
        <w:t>sí, si est</w:t>
      </w:r>
      <w:r w:rsidR="00E272F6">
        <w:t>e porcentaje es menor al del cuarto</w:t>
      </w:r>
      <w:r w:rsidR="007B27AB">
        <w:t xml:space="preserve"> trimestre del año anterior, </w:t>
      </w:r>
      <w:r w:rsidR="00A556E6">
        <w:t xml:space="preserve">se </w:t>
      </w:r>
      <w:r w:rsidR="007A39DF">
        <w:t>ralentiza el incremento de</w:t>
      </w:r>
      <w:r w:rsidR="007261A7">
        <w:t xml:space="preserve"> </w:t>
      </w:r>
      <w:r w:rsidR="007A39DF">
        <w:t>calidad de la información</w:t>
      </w:r>
      <w:r w:rsidR="00C21D05">
        <w:t xml:space="preserve"> al término del periodo valorado.</w:t>
      </w:r>
    </w:p>
    <w:p w14:paraId="6CF4F74E" w14:textId="77777777" w:rsidR="00C85958" w:rsidRDefault="007261A7" w:rsidP="00C85958">
      <w:pPr>
        <w:spacing w:after="0"/>
        <w:ind w:firstLine="708"/>
      </w:pPr>
      <w:r>
        <w:t>D</w:t>
      </w:r>
      <w:r w:rsidR="00C85958">
        <w:t xml:space="preserve">erivado del análisis del </w:t>
      </w:r>
      <w:r>
        <w:t xml:space="preserve">promedio nacional del </w:t>
      </w:r>
      <w:r w:rsidR="00872F3E">
        <w:t>ICI</w:t>
      </w:r>
      <w:r w:rsidR="00C85958">
        <w:t xml:space="preserve">, </w:t>
      </w:r>
      <w:r w:rsidR="007A39DF">
        <w:t>se</w:t>
      </w:r>
      <w:r w:rsidR="00C85958">
        <w:t xml:space="preserve"> observa que no obstante </w:t>
      </w:r>
      <w:r>
        <w:t>las adecuaciones</w:t>
      </w:r>
      <w:r w:rsidR="00C85958">
        <w:t xml:space="preserve"> en el SFU y las capacitaciones realizadas, aún </w:t>
      </w:r>
      <w:r w:rsidRPr="007261A7">
        <w:rPr>
          <w:b/>
        </w:rPr>
        <w:t xml:space="preserve">existe </w:t>
      </w:r>
      <w:r w:rsidRPr="007261A7">
        <w:rPr>
          <w:b/>
        </w:rPr>
        <w:lastRenderedPageBreak/>
        <w:t>heterogeneidad</w:t>
      </w:r>
      <w:r w:rsidR="00C85958" w:rsidRPr="00AC196C">
        <w:rPr>
          <w:b/>
        </w:rPr>
        <w:t xml:space="preserve"> en la </w:t>
      </w:r>
      <w:r w:rsidR="00D65A4A">
        <w:rPr>
          <w:b/>
        </w:rPr>
        <w:t xml:space="preserve">calidad de la </w:t>
      </w:r>
      <w:r w:rsidR="00C85958" w:rsidRPr="00AC196C">
        <w:rPr>
          <w:b/>
        </w:rPr>
        <w:t>información</w:t>
      </w:r>
      <w:r w:rsidR="00C85958" w:rsidRPr="007261A7">
        <w:rPr>
          <w:b/>
        </w:rPr>
        <w:t xml:space="preserve"> </w:t>
      </w:r>
      <w:r w:rsidRPr="007261A7">
        <w:rPr>
          <w:b/>
        </w:rPr>
        <w:t>reportada</w:t>
      </w:r>
      <w:r w:rsidR="00C85958" w:rsidRPr="00AC196C">
        <w:rPr>
          <w:b/>
        </w:rPr>
        <w:t xml:space="preserve"> entre entidades federativas</w:t>
      </w:r>
      <w:r w:rsidR="00C85958">
        <w:t>, lo cual se refleja en la varianza del ICI, como se puede observar en la</w:t>
      </w:r>
      <w:r w:rsidR="00686B51">
        <w:t xml:space="preserve"> siguiente</w:t>
      </w:r>
      <w:r w:rsidR="00C85958">
        <w:t xml:space="preserve"> tabla: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1"/>
        <w:gridCol w:w="1365"/>
        <w:gridCol w:w="1818"/>
      </w:tblGrid>
      <w:tr w:rsidR="0097032E" w:rsidRPr="00F00F6E" w14:paraId="4CE77F15" w14:textId="77777777" w:rsidTr="0097032E">
        <w:trPr>
          <w:trHeight w:val="300"/>
          <w:jc w:val="center"/>
        </w:trPr>
        <w:tc>
          <w:tcPr>
            <w:tcW w:w="5524" w:type="dxa"/>
            <w:gridSpan w:val="3"/>
            <w:tcBorders>
              <w:top w:val="nil"/>
              <w:left w:val="nil"/>
              <w:right w:val="nil"/>
            </w:tcBorders>
            <w:shd w:val="clear" w:color="auto" w:fill="auto"/>
            <w:noWrap/>
            <w:vAlign w:val="bottom"/>
          </w:tcPr>
          <w:p w14:paraId="0CC06B77" w14:textId="77777777" w:rsidR="0097032E" w:rsidRPr="00F00F6E" w:rsidRDefault="00BD3BC0" w:rsidP="0097032E">
            <w:pPr>
              <w:spacing w:after="0"/>
              <w:jc w:val="center"/>
            </w:pPr>
            <w:r>
              <w:rPr>
                <w:rFonts w:eastAsia="Times New Roman" w:cs="Times New Roman"/>
                <w:b/>
                <w:bCs/>
                <w:color w:val="000000"/>
                <w:sz w:val="20"/>
                <w:szCs w:val="20"/>
              </w:rPr>
              <w:t>Tabla 2</w:t>
            </w:r>
            <w:r w:rsidR="0097032E" w:rsidRPr="0097032E">
              <w:rPr>
                <w:rFonts w:eastAsia="Times New Roman" w:cs="Times New Roman"/>
                <w:b/>
                <w:bCs/>
                <w:color w:val="000000"/>
                <w:sz w:val="20"/>
                <w:szCs w:val="20"/>
              </w:rPr>
              <w:t>. Varianza ICI</w:t>
            </w:r>
          </w:p>
        </w:tc>
      </w:tr>
      <w:tr w:rsidR="00C85958" w:rsidRPr="00F00F6E" w14:paraId="61204798" w14:textId="77777777" w:rsidTr="0097032E">
        <w:trPr>
          <w:trHeight w:val="300"/>
          <w:jc w:val="center"/>
        </w:trPr>
        <w:tc>
          <w:tcPr>
            <w:tcW w:w="2341" w:type="dxa"/>
            <w:shd w:val="clear" w:color="auto" w:fill="00853F"/>
            <w:noWrap/>
            <w:vAlign w:val="bottom"/>
            <w:hideMark/>
          </w:tcPr>
          <w:p w14:paraId="68033413" w14:textId="77777777" w:rsidR="00C85958" w:rsidRPr="0097032E" w:rsidRDefault="00C85958" w:rsidP="00C85958">
            <w:pPr>
              <w:spacing w:after="0" w:line="240" w:lineRule="auto"/>
              <w:jc w:val="center"/>
              <w:rPr>
                <w:color w:val="FFFFFF" w:themeColor="background1"/>
              </w:rPr>
            </w:pPr>
            <w:r w:rsidRPr="0097032E">
              <w:rPr>
                <w:color w:val="FFFFFF" w:themeColor="background1"/>
              </w:rPr>
              <w:t>Periodo</w:t>
            </w:r>
          </w:p>
        </w:tc>
        <w:tc>
          <w:tcPr>
            <w:tcW w:w="0" w:type="auto"/>
            <w:shd w:val="clear" w:color="auto" w:fill="00853F"/>
            <w:noWrap/>
            <w:vAlign w:val="bottom"/>
            <w:hideMark/>
          </w:tcPr>
          <w:p w14:paraId="5DF1A8DF" w14:textId="77777777" w:rsidR="00C85958" w:rsidRPr="0097032E" w:rsidRDefault="00C85958" w:rsidP="00C85958">
            <w:pPr>
              <w:spacing w:after="0" w:line="240" w:lineRule="auto"/>
              <w:jc w:val="center"/>
              <w:rPr>
                <w:color w:val="FFFFFF" w:themeColor="background1"/>
              </w:rPr>
            </w:pPr>
            <w:r w:rsidRPr="0097032E">
              <w:rPr>
                <w:color w:val="FFFFFF" w:themeColor="background1"/>
              </w:rPr>
              <w:t>Valor del ICI</w:t>
            </w:r>
          </w:p>
        </w:tc>
        <w:tc>
          <w:tcPr>
            <w:tcW w:w="1818" w:type="dxa"/>
            <w:shd w:val="clear" w:color="auto" w:fill="00853F"/>
            <w:noWrap/>
            <w:vAlign w:val="bottom"/>
            <w:hideMark/>
          </w:tcPr>
          <w:p w14:paraId="1AE86967" w14:textId="77777777" w:rsidR="00C85958" w:rsidRPr="00B400A8" w:rsidRDefault="00C85958" w:rsidP="00C85958">
            <w:pPr>
              <w:spacing w:after="0" w:line="240" w:lineRule="auto"/>
              <w:jc w:val="center"/>
              <w:rPr>
                <w:color w:val="FFFFFF" w:themeColor="background1"/>
              </w:rPr>
            </w:pPr>
            <w:r w:rsidRPr="00B400A8">
              <w:rPr>
                <w:color w:val="FFFFFF" w:themeColor="background1"/>
              </w:rPr>
              <w:t>Varianza</w:t>
            </w:r>
          </w:p>
        </w:tc>
      </w:tr>
      <w:tr w:rsidR="00C85958" w:rsidRPr="00F00F6E" w14:paraId="3538C62E" w14:textId="77777777" w:rsidTr="00C85958">
        <w:trPr>
          <w:trHeight w:val="300"/>
          <w:jc w:val="center"/>
        </w:trPr>
        <w:tc>
          <w:tcPr>
            <w:tcW w:w="2341" w:type="dxa"/>
            <w:shd w:val="clear" w:color="auto" w:fill="auto"/>
            <w:noWrap/>
            <w:vAlign w:val="bottom"/>
            <w:hideMark/>
          </w:tcPr>
          <w:p w14:paraId="2E676E62" w14:textId="77777777" w:rsidR="00C85958" w:rsidRPr="00F00F6E" w:rsidRDefault="00A562FF" w:rsidP="00C85958">
            <w:pPr>
              <w:spacing w:after="0" w:line="240" w:lineRule="auto"/>
              <w:jc w:val="center"/>
            </w:pPr>
            <w:r>
              <w:t>4to</w:t>
            </w:r>
            <w:r w:rsidRPr="00F00F6E">
              <w:t xml:space="preserve"> </w:t>
            </w:r>
            <w:r w:rsidR="00C85958" w:rsidRPr="00F00F6E">
              <w:t>Trimestre 2015</w:t>
            </w:r>
          </w:p>
        </w:tc>
        <w:tc>
          <w:tcPr>
            <w:tcW w:w="0" w:type="auto"/>
            <w:shd w:val="clear" w:color="auto" w:fill="auto"/>
            <w:noWrap/>
            <w:vAlign w:val="bottom"/>
            <w:hideMark/>
          </w:tcPr>
          <w:p w14:paraId="5102691C" w14:textId="77777777" w:rsidR="00C85958" w:rsidRPr="00F00F6E" w:rsidRDefault="00C85958">
            <w:pPr>
              <w:spacing w:after="0" w:line="240" w:lineRule="auto"/>
              <w:jc w:val="center"/>
            </w:pPr>
            <w:r w:rsidRPr="00F00F6E">
              <w:t>0.</w:t>
            </w:r>
            <w:r w:rsidR="00FA1F72">
              <w:t>63</w:t>
            </w:r>
          </w:p>
        </w:tc>
        <w:tc>
          <w:tcPr>
            <w:tcW w:w="1818" w:type="dxa"/>
            <w:shd w:val="clear" w:color="auto" w:fill="auto"/>
            <w:noWrap/>
            <w:vAlign w:val="bottom"/>
            <w:hideMark/>
          </w:tcPr>
          <w:p w14:paraId="64874A43" w14:textId="77777777" w:rsidR="00C85958" w:rsidRPr="00B400A8" w:rsidRDefault="00C85958" w:rsidP="00A562FF">
            <w:pPr>
              <w:spacing w:after="0" w:line="240" w:lineRule="auto"/>
              <w:jc w:val="center"/>
            </w:pPr>
            <w:r w:rsidRPr="00B400A8">
              <w:t>0.0</w:t>
            </w:r>
            <w:r w:rsidR="007261A7" w:rsidRPr="00B400A8">
              <w:t>2</w:t>
            </w:r>
          </w:p>
        </w:tc>
      </w:tr>
    </w:tbl>
    <w:p w14:paraId="5E17A462" w14:textId="77777777" w:rsidR="00C85958" w:rsidRDefault="00C85958" w:rsidP="004A02AD">
      <w:pPr>
        <w:pStyle w:val="Notas"/>
        <w:tabs>
          <w:tab w:val="left" w:pos="1928"/>
          <w:tab w:val="center" w:pos="4419"/>
        </w:tabs>
        <w:spacing w:line="240" w:lineRule="atLeast"/>
        <w:ind w:left="1701"/>
      </w:pPr>
      <w:r w:rsidRPr="00131EAE">
        <w:t>Fuente: Unidad de Evaluación del Desempeño, SHCP</w:t>
      </w:r>
    </w:p>
    <w:p w14:paraId="4C0A1CFE" w14:textId="77777777" w:rsidR="00300F50" w:rsidRDefault="00300F50" w:rsidP="00C85958">
      <w:pPr>
        <w:pStyle w:val="Notas"/>
        <w:tabs>
          <w:tab w:val="left" w:pos="1928"/>
          <w:tab w:val="center" w:pos="4419"/>
        </w:tabs>
        <w:spacing w:line="240" w:lineRule="atLeast"/>
        <w:jc w:val="center"/>
      </w:pPr>
    </w:p>
    <w:p w14:paraId="3B070A80" w14:textId="64019FE6" w:rsidR="00744789" w:rsidRDefault="002237F3" w:rsidP="00B86A00">
      <w:pPr>
        <w:spacing w:after="0"/>
        <w:ind w:firstLine="709"/>
      </w:pPr>
      <w:r>
        <w:t>Esto significa que el valor del ICI del cuarto trimestre</w:t>
      </w:r>
      <w:r w:rsidR="0084271C">
        <w:t xml:space="preserve"> por cada entidad federativa</w:t>
      </w:r>
      <w:r>
        <w:t xml:space="preserve"> se aleja en promedio alrededor de </w:t>
      </w:r>
      <w:r w:rsidR="0069766B">
        <w:t>0.0</w:t>
      </w:r>
      <w:r>
        <w:t xml:space="preserve">2 puntos del ICI nacional, que es igual a 0.63, lo que </w:t>
      </w:r>
      <w:r w:rsidR="007261A7">
        <w:t xml:space="preserve">hace evidente </w:t>
      </w:r>
      <w:r w:rsidR="000B1824">
        <w:t>la necesidad de</w:t>
      </w:r>
      <w:r w:rsidR="007261A7">
        <w:t xml:space="preserve"> desagregar el promedio nacional en sus componentes por entidad federativa</w:t>
      </w:r>
      <w:r w:rsidR="000C70B5">
        <w:t>.</w:t>
      </w:r>
    </w:p>
    <w:p w14:paraId="744C4A24" w14:textId="77777777" w:rsidR="00B86A00" w:rsidRDefault="00B86A00" w:rsidP="00B86A00">
      <w:pPr>
        <w:spacing w:after="0"/>
        <w:ind w:firstLine="709"/>
      </w:pPr>
    </w:p>
    <w:p w14:paraId="004FF4BE" w14:textId="77777777" w:rsidR="00B86A00" w:rsidRDefault="00B86A00" w:rsidP="00B86A00">
      <w:pPr>
        <w:spacing w:after="0"/>
        <w:ind w:firstLine="709"/>
      </w:pPr>
    </w:p>
    <w:p w14:paraId="1B5997E6" w14:textId="77777777" w:rsidR="00B86A00" w:rsidRDefault="00B86A00" w:rsidP="00B86A00">
      <w:pPr>
        <w:spacing w:after="0"/>
        <w:ind w:firstLine="709"/>
      </w:pPr>
    </w:p>
    <w:p w14:paraId="5725202E" w14:textId="77777777" w:rsidR="00B86A00" w:rsidRDefault="00B86A00" w:rsidP="00B86A00">
      <w:pPr>
        <w:spacing w:after="0"/>
        <w:ind w:firstLine="709"/>
      </w:pPr>
    </w:p>
    <w:p w14:paraId="46506571" w14:textId="77777777" w:rsidR="00B86A00" w:rsidRDefault="00B86A00" w:rsidP="00B86A00">
      <w:pPr>
        <w:spacing w:after="0"/>
        <w:ind w:firstLine="709"/>
      </w:pPr>
    </w:p>
    <w:p w14:paraId="15508D00" w14:textId="77777777" w:rsidR="00B86A00" w:rsidRDefault="00B86A00" w:rsidP="00B86A00">
      <w:pPr>
        <w:spacing w:after="0"/>
        <w:ind w:firstLine="709"/>
      </w:pPr>
    </w:p>
    <w:p w14:paraId="4E3DF085" w14:textId="77777777" w:rsidR="00B86A00" w:rsidRDefault="00B86A00" w:rsidP="00B86A00">
      <w:pPr>
        <w:spacing w:after="0"/>
        <w:ind w:firstLine="709"/>
      </w:pPr>
    </w:p>
    <w:p w14:paraId="39410F02" w14:textId="77777777" w:rsidR="00B86A00" w:rsidRDefault="00B86A00" w:rsidP="00B86A00">
      <w:pPr>
        <w:spacing w:after="0"/>
        <w:ind w:firstLine="709"/>
      </w:pPr>
    </w:p>
    <w:p w14:paraId="0FE9A0C3" w14:textId="77777777" w:rsidR="00B86A00" w:rsidRDefault="00B86A00" w:rsidP="00B86A00">
      <w:pPr>
        <w:spacing w:after="0"/>
        <w:ind w:firstLine="709"/>
      </w:pPr>
    </w:p>
    <w:p w14:paraId="10C914EF" w14:textId="77777777" w:rsidR="00B86A00" w:rsidRDefault="00B86A00" w:rsidP="00B86A00">
      <w:pPr>
        <w:spacing w:after="0"/>
        <w:ind w:firstLine="709"/>
      </w:pPr>
    </w:p>
    <w:p w14:paraId="0D34E23B" w14:textId="77777777" w:rsidR="00B86A00" w:rsidRDefault="00B86A00" w:rsidP="00B86A00">
      <w:pPr>
        <w:spacing w:after="0"/>
        <w:ind w:firstLine="709"/>
      </w:pPr>
    </w:p>
    <w:p w14:paraId="40D796E6" w14:textId="77777777" w:rsidR="00B86A00" w:rsidRDefault="00B86A00" w:rsidP="00B86A00">
      <w:pPr>
        <w:spacing w:after="0"/>
        <w:ind w:firstLine="709"/>
      </w:pPr>
    </w:p>
    <w:p w14:paraId="29C4C881" w14:textId="77777777" w:rsidR="00B86A00" w:rsidRDefault="00B86A00" w:rsidP="00B86A00">
      <w:pPr>
        <w:spacing w:after="0"/>
        <w:ind w:firstLine="709"/>
      </w:pPr>
    </w:p>
    <w:p w14:paraId="7D4CB342" w14:textId="77777777" w:rsidR="00B86A00" w:rsidRDefault="00B86A00" w:rsidP="00B86A00">
      <w:pPr>
        <w:spacing w:after="0"/>
        <w:ind w:firstLine="709"/>
      </w:pPr>
    </w:p>
    <w:p w14:paraId="0285E63D" w14:textId="77777777" w:rsidR="00B86A00" w:rsidRDefault="00B86A00" w:rsidP="00B86A00">
      <w:pPr>
        <w:spacing w:after="0"/>
        <w:ind w:firstLine="709"/>
      </w:pPr>
    </w:p>
    <w:p w14:paraId="65DE5DFE" w14:textId="77777777" w:rsidR="00B86A00" w:rsidRDefault="00B86A00" w:rsidP="00B86A00">
      <w:pPr>
        <w:spacing w:after="0"/>
        <w:ind w:firstLine="709"/>
      </w:pPr>
    </w:p>
    <w:p w14:paraId="1EC8BD15" w14:textId="77777777" w:rsidR="00B86A00" w:rsidRDefault="00B86A00" w:rsidP="00B86A00">
      <w:pPr>
        <w:spacing w:after="0"/>
        <w:ind w:firstLine="709"/>
      </w:pPr>
    </w:p>
    <w:p w14:paraId="160A9703" w14:textId="77777777" w:rsidR="00B86A00" w:rsidRDefault="00B86A00" w:rsidP="00B86A00">
      <w:pPr>
        <w:spacing w:after="0"/>
        <w:ind w:firstLine="709"/>
      </w:pPr>
    </w:p>
    <w:p w14:paraId="2F501366" w14:textId="77777777" w:rsidR="00B86A00" w:rsidRDefault="00B86A00" w:rsidP="00B86A00">
      <w:pPr>
        <w:spacing w:after="0"/>
        <w:ind w:firstLine="709"/>
      </w:pPr>
    </w:p>
    <w:p w14:paraId="127346B4" w14:textId="77777777" w:rsidR="00B86A00" w:rsidRDefault="00B86A00" w:rsidP="00B86A00">
      <w:pPr>
        <w:spacing w:after="0"/>
        <w:ind w:firstLine="709"/>
      </w:pPr>
    </w:p>
    <w:p w14:paraId="182A9C41" w14:textId="77777777" w:rsidR="004A02AD" w:rsidRDefault="00744789" w:rsidP="004A02AD">
      <w:pPr>
        <w:spacing w:after="0"/>
        <w:jc w:val="center"/>
        <w:rPr>
          <w:noProof/>
        </w:rPr>
      </w:pPr>
      <w:r w:rsidRPr="0097032E">
        <w:rPr>
          <w:rFonts w:eastAsia="Times New Roman" w:cs="Times New Roman"/>
          <w:b/>
          <w:bCs/>
          <w:color w:val="000000"/>
          <w:sz w:val="20"/>
          <w:szCs w:val="20"/>
        </w:rPr>
        <w:lastRenderedPageBreak/>
        <w:t xml:space="preserve">Gráfico 2. </w:t>
      </w:r>
      <w:r w:rsidR="00DC5E96">
        <w:rPr>
          <w:rFonts w:eastAsia="Times New Roman" w:cs="Times New Roman"/>
          <w:b/>
          <w:bCs/>
          <w:color w:val="000000"/>
          <w:sz w:val="20"/>
          <w:szCs w:val="20"/>
        </w:rPr>
        <w:t>Clasificación</w:t>
      </w:r>
      <w:r w:rsidR="00837E8F">
        <w:rPr>
          <w:rFonts w:eastAsia="Times New Roman" w:cs="Times New Roman"/>
          <w:b/>
          <w:bCs/>
          <w:color w:val="000000"/>
          <w:sz w:val="20"/>
          <w:szCs w:val="20"/>
        </w:rPr>
        <w:t xml:space="preserve"> por entidad federativa </w:t>
      </w:r>
      <w:r w:rsidR="003C202E">
        <w:rPr>
          <w:rFonts w:eastAsia="Times New Roman" w:cs="Times New Roman"/>
          <w:b/>
          <w:bCs/>
          <w:color w:val="000000"/>
          <w:sz w:val="20"/>
          <w:szCs w:val="20"/>
        </w:rPr>
        <w:t>del</w:t>
      </w:r>
      <w:r w:rsidRPr="0097032E">
        <w:rPr>
          <w:rFonts w:eastAsia="Times New Roman" w:cs="Times New Roman"/>
          <w:b/>
          <w:bCs/>
          <w:color w:val="000000"/>
          <w:sz w:val="20"/>
          <w:szCs w:val="20"/>
        </w:rPr>
        <w:t xml:space="preserve"> </w:t>
      </w:r>
      <w:r w:rsidR="00AC196C">
        <w:rPr>
          <w:rFonts w:eastAsia="Times New Roman" w:cs="Times New Roman"/>
          <w:b/>
          <w:bCs/>
          <w:color w:val="000000"/>
          <w:sz w:val="20"/>
          <w:szCs w:val="20"/>
        </w:rPr>
        <w:t>ICI</w:t>
      </w:r>
      <w:r w:rsidR="003C202E">
        <w:rPr>
          <w:rFonts w:eastAsia="Times New Roman" w:cs="Times New Roman"/>
          <w:b/>
          <w:bCs/>
          <w:color w:val="000000"/>
          <w:sz w:val="20"/>
          <w:szCs w:val="20"/>
        </w:rPr>
        <w:t xml:space="preserve"> (cuarto trimestre 2015)</w:t>
      </w:r>
      <w:r w:rsidR="00B400A8" w:rsidRPr="00B400A8">
        <w:rPr>
          <w:noProof/>
        </w:rPr>
        <w:t xml:space="preserve"> </w:t>
      </w:r>
    </w:p>
    <w:p w14:paraId="35B93597" w14:textId="77777777" w:rsidR="004A02AD" w:rsidRDefault="004A02AD" w:rsidP="004A02AD">
      <w:pPr>
        <w:spacing w:after="0"/>
        <w:jc w:val="center"/>
        <w:rPr>
          <w:noProof/>
        </w:rPr>
      </w:pPr>
      <w:r>
        <w:rPr>
          <w:noProof/>
        </w:rPr>
        <w:drawing>
          <wp:inline distT="0" distB="0" distL="0" distR="0" wp14:anchorId="43BE2784" wp14:editId="7A291308">
            <wp:extent cx="5505450" cy="7639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49C2BD" w14:textId="71DEAACF" w:rsidR="00744789" w:rsidRPr="004A02AD" w:rsidRDefault="00CD7871" w:rsidP="00CD7871">
      <w:pPr>
        <w:spacing w:after="0"/>
        <w:jc w:val="left"/>
        <w:rPr>
          <w:noProof/>
        </w:rPr>
      </w:pPr>
      <w:r>
        <w:rPr>
          <w:sz w:val="20"/>
        </w:rPr>
        <w:t xml:space="preserve">  </w:t>
      </w:r>
      <w:r w:rsidR="00744789" w:rsidRPr="007B4102">
        <w:rPr>
          <w:sz w:val="20"/>
        </w:rPr>
        <w:t>Fuente: Unidad de Evaluación del Desempeño, SHCP</w:t>
      </w:r>
    </w:p>
    <w:p w14:paraId="31C0A12E" w14:textId="77777777" w:rsidR="007F23FD" w:rsidRDefault="00456B54" w:rsidP="00B86A00">
      <w:pPr>
        <w:spacing w:after="0"/>
        <w:ind w:firstLine="709"/>
      </w:pPr>
      <w:r>
        <w:lastRenderedPageBreak/>
        <w:t>Con la intención</w:t>
      </w:r>
      <w:r w:rsidR="00300F50">
        <w:t xml:space="preserve"> de </w:t>
      </w:r>
      <w:r>
        <w:t xml:space="preserve">identificar patrones que permitan orientar </w:t>
      </w:r>
      <w:r w:rsidR="00300F50">
        <w:t xml:space="preserve">las </w:t>
      </w:r>
      <w:r>
        <w:t xml:space="preserve">acciones de mejora, se analizaron las características comparables entre </w:t>
      </w:r>
      <w:r w:rsidR="00300F50">
        <w:t xml:space="preserve">entidades federativas </w:t>
      </w:r>
      <w:r w:rsidR="007A39DF">
        <w:t>susceptibles de</w:t>
      </w:r>
      <w:r>
        <w:t xml:space="preserve"> explicar la variación en el reporte.</w:t>
      </w:r>
      <w:r w:rsidR="007F23FD">
        <w:t xml:space="preserve"> Para ello, en principio es relevante revisar la tasa de crecimiento en la </w:t>
      </w:r>
      <w:r w:rsidR="00300F50">
        <w:t xml:space="preserve">calidad </w:t>
      </w:r>
      <w:r w:rsidR="007F23FD">
        <w:t xml:space="preserve">de </w:t>
      </w:r>
      <w:r w:rsidR="00300F50">
        <w:t xml:space="preserve">la información </w:t>
      </w:r>
      <w:r w:rsidR="007F23FD">
        <w:t xml:space="preserve">que es reportada por las entidades federativas, en función de la línea base. Por medio de dicha revisión, es posible identificar las entidades federativas que han </w:t>
      </w:r>
      <w:r w:rsidR="000C70B5">
        <w:t>realizado acciones eficientes</w:t>
      </w:r>
      <w:r w:rsidR="007A39DF">
        <w:t xml:space="preserve"> y duraderas</w:t>
      </w:r>
      <w:r w:rsidR="007F23FD">
        <w:t xml:space="preserve"> </w:t>
      </w:r>
      <w:r w:rsidR="000C70B5">
        <w:t xml:space="preserve">para </w:t>
      </w:r>
      <w:r w:rsidR="007F23FD">
        <w:t xml:space="preserve">la mejora </w:t>
      </w:r>
      <w:r w:rsidR="000C70B5">
        <w:t>de la calidad de la información.</w:t>
      </w:r>
      <w:r w:rsidR="00837E8F">
        <w:t xml:space="preserve"> Al analizar estos datos es importante, sin embargo, tomar en consideración el punto de partida de la entidad federativa, que incide en su espacio de mejora.</w:t>
      </w:r>
    </w:p>
    <w:p w14:paraId="45F4375B" w14:textId="77777777" w:rsidR="00706B25" w:rsidRPr="00706B25" w:rsidRDefault="00706B25" w:rsidP="00B400A8">
      <w:pPr>
        <w:spacing w:after="0"/>
        <w:ind w:firstLine="708"/>
        <w:rPr>
          <w:sz w:val="8"/>
          <w:szCs w:val="8"/>
        </w:rPr>
      </w:pPr>
    </w:p>
    <w:p w14:paraId="44FC6923" w14:textId="77777777" w:rsidR="003E67E6" w:rsidRDefault="007F23FD">
      <w:pPr>
        <w:spacing w:after="0"/>
        <w:jc w:val="center"/>
        <w:rPr>
          <w:rFonts w:eastAsia="Times New Roman" w:cs="Times New Roman"/>
          <w:b/>
          <w:bCs/>
          <w:color w:val="000000"/>
          <w:sz w:val="20"/>
          <w:szCs w:val="20"/>
        </w:rPr>
      </w:pPr>
      <w:r>
        <w:rPr>
          <w:rFonts w:eastAsia="Times New Roman" w:cs="Times New Roman"/>
          <w:b/>
          <w:bCs/>
          <w:color w:val="000000"/>
          <w:sz w:val="20"/>
          <w:szCs w:val="20"/>
        </w:rPr>
        <w:t>Gráfico 3</w:t>
      </w:r>
      <w:r w:rsidRPr="0097032E">
        <w:rPr>
          <w:rFonts w:eastAsia="Times New Roman" w:cs="Times New Roman"/>
          <w:b/>
          <w:bCs/>
          <w:color w:val="000000"/>
          <w:sz w:val="20"/>
          <w:szCs w:val="20"/>
        </w:rPr>
        <w:t xml:space="preserve">. </w:t>
      </w:r>
      <w:r>
        <w:rPr>
          <w:rFonts w:eastAsia="Times New Roman" w:cs="Times New Roman"/>
          <w:b/>
          <w:bCs/>
          <w:color w:val="000000"/>
          <w:sz w:val="20"/>
          <w:szCs w:val="20"/>
        </w:rPr>
        <w:t>Avance en la calidad de la i</w:t>
      </w:r>
      <w:r w:rsidRPr="0097032E">
        <w:rPr>
          <w:rFonts w:eastAsia="Times New Roman" w:cs="Times New Roman"/>
          <w:b/>
          <w:bCs/>
          <w:color w:val="000000"/>
          <w:sz w:val="20"/>
          <w:szCs w:val="20"/>
        </w:rPr>
        <w:t xml:space="preserve">nformación </w:t>
      </w:r>
    </w:p>
    <w:p w14:paraId="225A3DB5" w14:textId="77777777" w:rsidR="000B1824" w:rsidRDefault="000B1824">
      <w:pPr>
        <w:spacing w:after="0"/>
        <w:jc w:val="center"/>
        <w:rPr>
          <w:rFonts w:eastAsia="Times New Roman" w:cs="Times New Roman"/>
          <w:b/>
          <w:bCs/>
          <w:color w:val="000000"/>
          <w:sz w:val="20"/>
          <w:szCs w:val="20"/>
        </w:rPr>
      </w:pPr>
      <w:r w:rsidRPr="000B1824">
        <w:rPr>
          <w:noProof/>
          <w:color w:val="FF0000"/>
        </w:rPr>
        <w:drawing>
          <wp:inline distT="0" distB="0" distL="0" distR="0" wp14:anchorId="34C3067B" wp14:editId="38DC5C60">
            <wp:extent cx="5857875" cy="52387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E01FF" w14:textId="77777777" w:rsidR="007F23FD" w:rsidRDefault="007F23FD" w:rsidP="00CD7871">
      <w:pPr>
        <w:spacing w:after="0"/>
        <w:jc w:val="left"/>
        <w:rPr>
          <w:sz w:val="20"/>
        </w:rPr>
      </w:pPr>
      <w:r w:rsidRPr="007B4102">
        <w:rPr>
          <w:sz w:val="20"/>
        </w:rPr>
        <w:t>Fuente: Unidad de Evaluación del Desempeño, SHCP</w:t>
      </w:r>
    </w:p>
    <w:p w14:paraId="7D9F8B25" w14:textId="77777777" w:rsidR="00706B25" w:rsidRDefault="00706B25" w:rsidP="00706B25">
      <w:pPr>
        <w:spacing w:after="0"/>
        <w:rPr>
          <w:sz w:val="20"/>
        </w:rPr>
      </w:pPr>
    </w:p>
    <w:p w14:paraId="6CA9FFDA" w14:textId="77777777" w:rsidR="00BD5EEF" w:rsidRPr="007A39DF" w:rsidRDefault="00277087" w:rsidP="00B86A00">
      <w:pPr>
        <w:spacing w:after="0"/>
        <w:ind w:firstLine="709"/>
      </w:pPr>
      <w:r w:rsidRPr="007A39DF">
        <w:t>En este sentido</w:t>
      </w:r>
      <w:r w:rsidR="00ED1DE0" w:rsidRPr="007A39DF">
        <w:t>,</w:t>
      </w:r>
      <w:r w:rsidR="007A39DF" w:rsidRPr="007A39DF">
        <w:t xml:space="preserve"> es importante resaltar los</w:t>
      </w:r>
      <w:r w:rsidRPr="007A39DF">
        <w:t xml:space="preserve"> caso</w:t>
      </w:r>
      <w:r w:rsidR="007A39DF" w:rsidRPr="007A39DF">
        <w:t>s</w:t>
      </w:r>
      <w:r w:rsidRPr="007A39DF">
        <w:t xml:space="preserve"> de Hidalgo, Chiapas y Oaxaca quienes muestran tasas de crecimiento del ICI superiores al 100%</w:t>
      </w:r>
      <w:r w:rsidR="00BD5EEF" w:rsidRPr="007A39DF">
        <w:t xml:space="preserve">, lo cual es evidencia de un esfuerzo al interior de dichas entidades para contar con información de calidad respecto a los recursos federales que se les transfieren y por ende un informe </w:t>
      </w:r>
      <w:r w:rsidR="00ED1DE0" w:rsidRPr="007A39DF">
        <w:t xml:space="preserve">útil </w:t>
      </w:r>
      <w:r w:rsidR="00BD5EEF" w:rsidRPr="007A39DF">
        <w:t>sobre el ejercicio, destino y resultados de dichos recursos para el Sistema de Evaluación del Desempeño</w:t>
      </w:r>
      <w:r w:rsidR="00120165" w:rsidRPr="007A39DF">
        <w:t xml:space="preserve"> nacional</w:t>
      </w:r>
      <w:r w:rsidR="00BD5EEF" w:rsidRPr="007A39DF">
        <w:t>.</w:t>
      </w:r>
    </w:p>
    <w:p w14:paraId="50C9404F" w14:textId="77777777" w:rsidR="00277087" w:rsidRPr="00BD5EEF" w:rsidRDefault="00BD5EEF" w:rsidP="00120165">
      <w:pPr>
        <w:spacing w:after="0"/>
        <w:ind w:firstLine="709"/>
      </w:pPr>
      <w:r w:rsidRPr="007A39DF">
        <w:t>A continuación</w:t>
      </w:r>
      <w:r w:rsidR="00ED1DE0" w:rsidRPr="007A39DF">
        <w:t>,</w:t>
      </w:r>
      <w:r w:rsidRPr="007A39DF">
        <w:t xml:space="preserve"> se </w:t>
      </w:r>
      <w:r w:rsidR="000112D3" w:rsidRPr="007A39DF">
        <w:t>realiza el</w:t>
      </w:r>
      <w:r w:rsidRPr="007A39DF">
        <w:t xml:space="preserve"> análisis de </w:t>
      </w:r>
      <w:r w:rsidR="000112D3" w:rsidRPr="007A39DF">
        <w:t>tres factores</w:t>
      </w:r>
      <w:r w:rsidRPr="007A39DF">
        <w:t xml:space="preserve"> que </w:t>
      </w:r>
      <w:r w:rsidR="00837E8F">
        <w:t>se presentan como posibles causas</w:t>
      </w:r>
      <w:r w:rsidRPr="007A39DF">
        <w:t xml:space="preserve"> </w:t>
      </w:r>
      <w:r w:rsidR="000112D3" w:rsidRPr="007A39DF">
        <w:t>ante</w:t>
      </w:r>
      <w:r w:rsidRPr="007A39DF">
        <w:t xml:space="preserve"> la baja calidad de la información</w:t>
      </w:r>
      <w:r w:rsidR="000112D3" w:rsidRPr="007A39DF">
        <w:t xml:space="preserve"> en los reportes trimestrales</w:t>
      </w:r>
      <w:r w:rsidRPr="007A39DF">
        <w:t xml:space="preserve">, </w:t>
      </w:r>
      <w:r w:rsidR="007A39DF" w:rsidRPr="007A39DF">
        <w:t>y la</w:t>
      </w:r>
      <w:r w:rsidR="00EE1583">
        <w:t xml:space="preserve"> posible</w:t>
      </w:r>
      <w:r w:rsidRPr="007A39DF">
        <w:t xml:space="preserve"> </w:t>
      </w:r>
      <w:r w:rsidR="000112D3" w:rsidRPr="007A39DF">
        <w:t>relación</w:t>
      </w:r>
      <w:r w:rsidRPr="007A39DF">
        <w:t xml:space="preserve"> </w:t>
      </w:r>
      <w:r w:rsidR="007A39DF" w:rsidRPr="007A39DF">
        <w:t>que guardan con e</w:t>
      </w:r>
      <w:r w:rsidR="000112D3" w:rsidRPr="007A39DF">
        <w:t>l</w:t>
      </w:r>
      <w:r w:rsidR="007A39DF" w:rsidRPr="007A39DF">
        <w:t xml:space="preserve"> ICI, con el fin de identificar si dichos factores afectan</w:t>
      </w:r>
      <w:r w:rsidR="00837E8F" w:rsidRPr="00837E8F">
        <w:t xml:space="preserve"> </w:t>
      </w:r>
      <w:r w:rsidR="00837E8F" w:rsidRPr="007A39DF">
        <w:t>de manera significativa el reporte</w:t>
      </w:r>
      <w:r w:rsidR="007A39DF" w:rsidRPr="007A39DF">
        <w:t>, independientemente de las acciones de los gobiernos locales.</w:t>
      </w:r>
    </w:p>
    <w:p w14:paraId="53B5091D" w14:textId="77777777" w:rsidR="00456B54" w:rsidRDefault="007F23FD" w:rsidP="00AC196C">
      <w:pPr>
        <w:pStyle w:val="Ttulo3"/>
      </w:pPr>
      <w:bookmarkStart w:id="7" w:name="_Toc447904079"/>
      <w:r>
        <w:t xml:space="preserve">Efectos del </w:t>
      </w:r>
      <w:r w:rsidR="00300F50">
        <w:t>número de munici</w:t>
      </w:r>
      <w:r w:rsidR="00451CD0">
        <w:t>pios</w:t>
      </w:r>
      <w:r>
        <w:t xml:space="preserve"> en la</w:t>
      </w:r>
      <w:r w:rsidR="00451CD0">
        <w:t xml:space="preserve"> entidad federativa</w:t>
      </w:r>
      <w:bookmarkEnd w:id="7"/>
    </w:p>
    <w:p w14:paraId="632B8562" w14:textId="14CC11A5" w:rsidR="009C5780" w:rsidRDefault="007A39DF" w:rsidP="00E623BC">
      <w:pPr>
        <w:spacing w:after="0"/>
      </w:pPr>
      <w:r>
        <w:t xml:space="preserve">La </w:t>
      </w:r>
      <w:r w:rsidR="00304D4C">
        <w:t>diferencia</w:t>
      </w:r>
      <w:r>
        <w:t xml:space="preserve"> del número de municipios entre entidades federativas puede representar un reto de coordinación interna: e</w:t>
      </w:r>
      <w:r w:rsidR="009C5780">
        <w:t>xisten entidades federativas con un gran número de municipios como es el caso de Oaxaca, con 570 municipios de los cuales 418 se encuentran en sistemas de elección normativos internos (usos y costum</w:t>
      </w:r>
      <w:r>
        <w:t>bres),</w:t>
      </w:r>
      <w:r w:rsidR="009C5780">
        <w:t xml:space="preserve"> y por otro lado</w:t>
      </w:r>
      <w:r>
        <w:t>,</w:t>
      </w:r>
      <w:r w:rsidR="009C5780">
        <w:t xml:space="preserve"> entidades federativas como Baja California y Baja California Sur que cuenta</w:t>
      </w:r>
      <w:r>
        <w:t>n</w:t>
      </w:r>
      <w:r w:rsidR="009C5780">
        <w:t xml:space="preserve"> con</w:t>
      </w:r>
      <w:r w:rsidR="000C70B5">
        <w:t xml:space="preserve"> solo</w:t>
      </w:r>
      <w:r w:rsidR="009C5780">
        <w:t xml:space="preserve"> </w:t>
      </w:r>
      <w:r w:rsidR="00837E8F">
        <w:t>cinco</w:t>
      </w:r>
      <w:r w:rsidR="009C5780">
        <w:t xml:space="preserve"> municipios</w:t>
      </w:r>
      <w:r>
        <w:t xml:space="preserve"> cada una</w:t>
      </w:r>
      <w:r w:rsidR="009C5780">
        <w:t xml:space="preserve">, </w:t>
      </w:r>
      <w:r w:rsidR="000C70B5">
        <w:t xml:space="preserve">lo cual explica la heterogeneidad </w:t>
      </w:r>
      <w:r>
        <w:t>de mecanismos de vinculación entre gobiernos sub nacionales</w:t>
      </w:r>
      <w:r w:rsidR="000C70B5">
        <w:t xml:space="preserve">. </w:t>
      </w:r>
    </w:p>
    <w:p w14:paraId="17A8F75E" w14:textId="77777777" w:rsidR="00B42AAC" w:rsidRPr="00B42AAC" w:rsidRDefault="007A39DF" w:rsidP="00054E16">
      <w:pPr>
        <w:spacing w:after="0"/>
        <w:ind w:firstLine="709"/>
      </w:pPr>
      <w:r>
        <w:t xml:space="preserve">No obstante, es importante colocar este factor en contexto. </w:t>
      </w:r>
      <w:r w:rsidR="009C5780">
        <w:t>El promedio nacional de municipio</w:t>
      </w:r>
      <w:r w:rsidR="00054E16">
        <w:t>s</w:t>
      </w:r>
      <w:r w:rsidR="009C5780">
        <w:t xml:space="preserve"> </w:t>
      </w:r>
      <w:r w:rsidR="00054E16">
        <w:t>por entidad federativa es de 65</w:t>
      </w:r>
      <w:r w:rsidR="009C5780">
        <w:rPr>
          <w:rStyle w:val="Refdenotaalpie"/>
        </w:rPr>
        <w:footnoteReference w:id="5"/>
      </w:r>
      <w:r w:rsidR="00054E16">
        <w:t xml:space="preserve">, </w:t>
      </w:r>
      <w:r>
        <w:t xml:space="preserve">no obstante, </w:t>
      </w:r>
      <w:r w:rsidR="00054E16">
        <w:t>Hidalgo</w:t>
      </w:r>
      <w:r w:rsidR="000C70B5">
        <w:t>,</w:t>
      </w:r>
      <w:r w:rsidR="00054E16">
        <w:t xml:space="preserve"> entidad federativa que cuenta con 84 municipios</w:t>
      </w:r>
      <w:r>
        <w:t>, muy por encima del promedio,</w:t>
      </w:r>
      <w:r w:rsidR="00054E16">
        <w:t xml:space="preserve"> </w:t>
      </w:r>
      <w:r w:rsidR="000C70B5">
        <w:t>se encuentra en el</w:t>
      </w:r>
      <w:r w:rsidR="00054E16">
        <w:t xml:space="preserve"> tercer lugar</w:t>
      </w:r>
      <w:r w:rsidR="00EE1583">
        <w:t xml:space="preserve"> en la valoración del ICI</w:t>
      </w:r>
      <w:r w:rsidR="000B1824">
        <w:t>,</w:t>
      </w:r>
      <w:r w:rsidR="00054E16">
        <w:t xml:space="preserve"> </w:t>
      </w:r>
      <w:r w:rsidR="000B1824">
        <w:t>junto al estado de Campeche</w:t>
      </w:r>
      <w:r w:rsidR="00837E8F">
        <w:t xml:space="preserve"> con </w:t>
      </w:r>
      <w:r w:rsidR="004715E4">
        <w:t xml:space="preserve">once </w:t>
      </w:r>
      <w:r w:rsidR="00837E8F">
        <w:t>municipios</w:t>
      </w:r>
      <w:r w:rsidR="000B1824">
        <w:t xml:space="preserve">, </w:t>
      </w:r>
      <w:r>
        <w:t>como lo muestra la siguiente tabla</w:t>
      </w:r>
      <w:r w:rsidR="00516E70" w:rsidRPr="00054E16">
        <w:t>:</w:t>
      </w:r>
    </w:p>
    <w:p w14:paraId="482680CD" w14:textId="77777777" w:rsidR="00DC5E96" w:rsidRDefault="00DC5E96">
      <w:r>
        <w:br w:type="page"/>
      </w:r>
    </w:p>
    <w:tbl>
      <w:tblPr>
        <w:tblW w:w="0" w:type="auto"/>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1591"/>
        <w:gridCol w:w="1691"/>
        <w:gridCol w:w="1873"/>
      </w:tblGrid>
      <w:tr w:rsidR="00B42AAC" w:rsidRPr="00E503CA" w14:paraId="0755B614" w14:textId="77777777" w:rsidTr="009146BA">
        <w:trPr>
          <w:trHeight w:val="300"/>
          <w:tblHeader/>
        </w:trPr>
        <w:tc>
          <w:tcPr>
            <w:tcW w:w="7240" w:type="dxa"/>
            <w:gridSpan w:val="4"/>
            <w:tcBorders>
              <w:top w:val="nil"/>
              <w:left w:val="nil"/>
              <w:bottom w:val="single" w:sz="4" w:space="0" w:color="auto"/>
              <w:right w:val="nil"/>
            </w:tcBorders>
            <w:shd w:val="clear" w:color="auto" w:fill="auto"/>
            <w:noWrap/>
            <w:vAlign w:val="bottom"/>
          </w:tcPr>
          <w:p w14:paraId="08282665" w14:textId="77777777" w:rsidR="00B42AAC" w:rsidRPr="00E503CA" w:rsidRDefault="00B42AAC" w:rsidP="00B42AAC">
            <w:pPr>
              <w:spacing w:after="0" w:line="240" w:lineRule="auto"/>
              <w:jc w:val="center"/>
              <w:rPr>
                <w:color w:val="FFFFFF" w:themeColor="background1"/>
                <w:sz w:val="20"/>
              </w:rPr>
            </w:pPr>
            <w:r w:rsidRPr="00E503CA">
              <w:rPr>
                <w:rFonts w:eastAsia="Times New Roman" w:cs="Times New Roman"/>
                <w:b/>
                <w:bCs/>
                <w:color w:val="000000"/>
                <w:sz w:val="20"/>
                <w:szCs w:val="20"/>
              </w:rPr>
              <w:lastRenderedPageBreak/>
              <w:t xml:space="preserve">Tabla 3. </w:t>
            </w:r>
            <w:r w:rsidR="007A39DF">
              <w:rPr>
                <w:rFonts w:eastAsia="Times New Roman" w:cs="Times New Roman"/>
                <w:b/>
                <w:bCs/>
                <w:color w:val="000000"/>
                <w:sz w:val="20"/>
                <w:szCs w:val="20"/>
              </w:rPr>
              <w:t xml:space="preserve">Relación entre el </w:t>
            </w:r>
            <w:r w:rsidRPr="00E503CA">
              <w:rPr>
                <w:rFonts w:eastAsia="Times New Roman" w:cs="Times New Roman"/>
                <w:b/>
                <w:bCs/>
                <w:color w:val="000000"/>
                <w:sz w:val="20"/>
                <w:szCs w:val="20"/>
              </w:rPr>
              <w:t>Número de Municipios</w:t>
            </w:r>
            <w:r w:rsidR="007A39DF">
              <w:rPr>
                <w:rFonts w:eastAsia="Times New Roman" w:cs="Times New Roman"/>
                <w:b/>
                <w:bCs/>
                <w:color w:val="000000"/>
                <w:sz w:val="20"/>
                <w:szCs w:val="20"/>
              </w:rPr>
              <w:t xml:space="preserve"> y el ICI (ranking y valor para el 4to Trimestre de 2015)</w:t>
            </w:r>
          </w:p>
        </w:tc>
      </w:tr>
      <w:tr w:rsidR="00B42AAC" w:rsidRPr="00E503CA" w14:paraId="23E6FB74" w14:textId="77777777" w:rsidTr="009146BA">
        <w:trPr>
          <w:trHeight w:val="300"/>
          <w:tblHeader/>
        </w:trPr>
        <w:tc>
          <w:tcPr>
            <w:tcW w:w="2085" w:type="dxa"/>
            <w:tcBorders>
              <w:top w:val="single" w:sz="4" w:space="0" w:color="auto"/>
            </w:tcBorders>
            <w:shd w:val="clear" w:color="auto" w:fill="00853F"/>
            <w:noWrap/>
            <w:vAlign w:val="center"/>
            <w:hideMark/>
          </w:tcPr>
          <w:p w14:paraId="7E36D861" w14:textId="77777777" w:rsidR="00B42AAC" w:rsidRPr="00573FA5" w:rsidRDefault="00B42AAC" w:rsidP="00B42AAC">
            <w:pPr>
              <w:spacing w:after="0" w:line="240" w:lineRule="auto"/>
              <w:jc w:val="center"/>
              <w:rPr>
                <w:color w:val="FFFFFF" w:themeColor="background1"/>
                <w:sz w:val="18"/>
                <w:szCs w:val="18"/>
              </w:rPr>
            </w:pPr>
            <w:r w:rsidRPr="00573FA5">
              <w:rPr>
                <w:color w:val="FFFFFF" w:themeColor="background1"/>
                <w:sz w:val="18"/>
                <w:szCs w:val="18"/>
              </w:rPr>
              <w:t>Entidad Federativa</w:t>
            </w:r>
          </w:p>
        </w:tc>
        <w:tc>
          <w:tcPr>
            <w:tcW w:w="1591" w:type="dxa"/>
            <w:tcBorders>
              <w:top w:val="single" w:sz="4" w:space="0" w:color="auto"/>
            </w:tcBorders>
            <w:shd w:val="clear" w:color="auto" w:fill="00853F"/>
            <w:noWrap/>
            <w:vAlign w:val="center"/>
            <w:hideMark/>
          </w:tcPr>
          <w:p w14:paraId="19180D82" w14:textId="77777777" w:rsidR="00B42AAC" w:rsidRPr="00573FA5" w:rsidRDefault="00B42AAC" w:rsidP="00B42AAC">
            <w:pPr>
              <w:spacing w:after="0" w:line="240" w:lineRule="auto"/>
              <w:jc w:val="center"/>
              <w:rPr>
                <w:color w:val="FFFFFF" w:themeColor="background1"/>
                <w:sz w:val="18"/>
                <w:szCs w:val="18"/>
              </w:rPr>
            </w:pPr>
            <w:r w:rsidRPr="00573FA5">
              <w:rPr>
                <w:color w:val="FFFFFF" w:themeColor="background1"/>
                <w:sz w:val="18"/>
                <w:szCs w:val="18"/>
              </w:rPr>
              <w:t>Número de Municipios</w:t>
            </w:r>
          </w:p>
        </w:tc>
        <w:tc>
          <w:tcPr>
            <w:tcW w:w="1691" w:type="dxa"/>
            <w:tcBorders>
              <w:top w:val="single" w:sz="4" w:space="0" w:color="auto"/>
            </w:tcBorders>
            <w:shd w:val="clear" w:color="auto" w:fill="00853F"/>
            <w:noWrap/>
            <w:vAlign w:val="center"/>
            <w:hideMark/>
          </w:tcPr>
          <w:p w14:paraId="4ACAE8E7" w14:textId="77777777" w:rsidR="00B42AAC" w:rsidRPr="00573FA5" w:rsidRDefault="000C70B5">
            <w:pPr>
              <w:spacing w:after="0" w:line="240" w:lineRule="auto"/>
              <w:jc w:val="center"/>
              <w:rPr>
                <w:color w:val="FFFFFF" w:themeColor="background1"/>
                <w:sz w:val="18"/>
                <w:szCs w:val="18"/>
              </w:rPr>
            </w:pPr>
            <w:r w:rsidRPr="00573FA5">
              <w:rPr>
                <w:color w:val="FFFFFF" w:themeColor="background1"/>
                <w:sz w:val="18"/>
                <w:szCs w:val="18"/>
              </w:rPr>
              <w:t xml:space="preserve">Lugar </w:t>
            </w:r>
            <w:r w:rsidR="00A10611">
              <w:rPr>
                <w:color w:val="FFFFFF" w:themeColor="background1"/>
                <w:sz w:val="18"/>
                <w:szCs w:val="18"/>
              </w:rPr>
              <w:t>en la jerarquización</w:t>
            </w:r>
            <w:r w:rsidRPr="00573FA5">
              <w:rPr>
                <w:color w:val="FFFFFF" w:themeColor="background1"/>
                <w:sz w:val="18"/>
                <w:szCs w:val="18"/>
              </w:rPr>
              <w:t xml:space="preserve"> nacional del</w:t>
            </w:r>
            <w:r w:rsidR="00C31D57">
              <w:rPr>
                <w:color w:val="FFFFFF" w:themeColor="background1"/>
                <w:sz w:val="18"/>
                <w:szCs w:val="18"/>
              </w:rPr>
              <w:t xml:space="preserve"> </w:t>
            </w:r>
            <w:r w:rsidR="00B42AAC" w:rsidRPr="00573FA5">
              <w:rPr>
                <w:color w:val="FFFFFF" w:themeColor="background1"/>
                <w:sz w:val="18"/>
                <w:szCs w:val="18"/>
              </w:rPr>
              <w:t>ICI</w:t>
            </w:r>
          </w:p>
        </w:tc>
        <w:tc>
          <w:tcPr>
            <w:tcW w:w="1873" w:type="dxa"/>
            <w:tcBorders>
              <w:top w:val="single" w:sz="4" w:space="0" w:color="auto"/>
            </w:tcBorders>
            <w:shd w:val="clear" w:color="auto" w:fill="00853F"/>
            <w:noWrap/>
            <w:vAlign w:val="center"/>
            <w:hideMark/>
          </w:tcPr>
          <w:p w14:paraId="6555B3FE" w14:textId="77777777" w:rsidR="00B42AAC" w:rsidRPr="00573FA5" w:rsidRDefault="00B42AAC" w:rsidP="00B42AAC">
            <w:pPr>
              <w:spacing w:after="0" w:line="240" w:lineRule="auto"/>
              <w:jc w:val="center"/>
              <w:rPr>
                <w:color w:val="FFFFFF" w:themeColor="background1"/>
                <w:sz w:val="18"/>
                <w:szCs w:val="18"/>
              </w:rPr>
            </w:pPr>
            <w:r w:rsidRPr="00573FA5">
              <w:rPr>
                <w:color w:val="FFFFFF" w:themeColor="background1"/>
                <w:sz w:val="18"/>
                <w:szCs w:val="18"/>
              </w:rPr>
              <w:t>Valor del ICI 4to Trimestre</w:t>
            </w:r>
            <w:r w:rsidR="007A39DF" w:rsidRPr="00573FA5">
              <w:rPr>
                <w:color w:val="FFFFFF" w:themeColor="background1"/>
                <w:sz w:val="18"/>
                <w:szCs w:val="18"/>
              </w:rPr>
              <w:t xml:space="preserve"> 2015</w:t>
            </w:r>
          </w:p>
        </w:tc>
      </w:tr>
      <w:tr w:rsidR="009146BA" w:rsidRPr="00E503CA" w14:paraId="6759D3B3" w14:textId="77777777" w:rsidTr="00573FA5">
        <w:trPr>
          <w:trHeight w:val="131"/>
        </w:trPr>
        <w:tc>
          <w:tcPr>
            <w:tcW w:w="2085" w:type="dxa"/>
            <w:shd w:val="clear" w:color="auto" w:fill="auto"/>
            <w:noWrap/>
            <w:vAlign w:val="center"/>
            <w:hideMark/>
          </w:tcPr>
          <w:p w14:paraId="6F49655C"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Morelos</w:t>
            </w:r>
          </w:p>
        </w:tc>
        <w:tc>
          <w:tcPr>
            <w:tcW w:w="1591" w:type="dxa"/>
            <w:shd w:val="clear" w:color="auto" w:fill="auto"/>
            <w:noWrap/>
            <w:vAlign w:val="center"/>
            <w:hideMark/>
          </w:tcPr>
          <w:p w14:paraId="6DC25A8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33</w:t>
            </w:r>
          </w:p>
        </w:tc>
        <w:tc>
          <w:tcPr>
            <w:tcW w:w="1691" w:type="dxa"/>
            <w:shd w:val="clear" w:color="auto" w:fill="auto"/>
            <w:noWrap/>
            <w:vAlign w:val="center"/>
            <w:hideMark/>
          </w:tcPr>
          <w:p w14:paraId="5418D539"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w:t>
            </w:r>
          </w:p>
        </w:tc>
        <w:tc>
          <w:tcPr>
            <w:tcW w:w="1873" w:type="dxa"/>
            <w:shd w:val="clear" w:color="auto" w:fill="auto"/>
            <w:noWrap/>
            <w:vAlign w:val="center"/>
            <w:hideMark/>
          </w:tcPr>
          <w:p w14:paraId="57B8CB3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0.87</w:t>
            </w:r>
          </w:p>
        </w:tc>
      </w:tr>
      <w:tr w:rsidR="009146BA" w:rsidRPr="00E503CA" w14:paraId="19451EA9" w14:textId="77777777" w:rsidTr="00A76F1C">
        <w:trPr>
          <w:trHeight w:val="300"/>
        </w:trPr>
        <w:tc>
          <w:tcPr>
            <w:tcW w:w="2085" w:type="dxa"/>
            <w:shd w:val="clear" w:color="auto" w:fill="auto"/>
            <w:noWrap/>
            <w:vAlign w:val="center"/>
            <w:hideMark/>
          </w:tcPr>
          <w:p w14:paraId="7C1B737C"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Nayarit</w:t>
            </w:r>
          </w:p>
        </w:tc>
        <w:tc>
          <w:tcPr>
            <w:tcW w:w="1591" w:type="dxa"/>
            <w:shd w:val="clear" w:color="auto" w:fill="auto"/>
            <w:noWrap/>
            <w:vAlign w:val="center"/>
            <w:hideMark/>
          </w:tcPr>
          <w:p w14:paraId="442A46BF"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20</w:t>
            </w:r>
          </w:p>
        </w:tc>
        <w:tc>
          <w:tcPr>
            <w:tcW w:w="1691" w:type="dxa"/>
            <w:shd w:val="clear" w:color="auto" w:fill="auto"/>
            <w:noWrap/>
            <w:vAlign w:val="center"/>
            <w:hideMark/>
          </w:tcPr>
          <w:p w14:paraId="24E8DA0A"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w:t>
            </w:r>
          </w:p>
        </w:tc>
        <w:tc>
          <w:tcPr>
            <w:tcW w:w="1873" w:type="dxa"/>
            <w:shd w:val="clear" w:color="auto" w:fill="auto"/>
            <w:noWrap/>
            <w:vAlign w:val="center"/>
            <w:hideMark/>
          </w:tcPr>
          <w:p w14:paraId="1401848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0.84</w:t>
            </w:r>
          </w:p>
        </w:tc>
      </w:tr>
      <w:tr w:rsidR="009146BA" w:rsidRPr="00E503CA" w14:paraId="0C9F28B3" w14:textId="77777777" w:rsidTr="00A76F1C">
        <w:trPr>
          <w:trHeight w:val="300"/>
        </w:trPr>
        <w:tc>
          <w:tcPr>
            <w:tcW w:w="2085" w:type="dxa"/>
            <w:shd w:val="clear" w:color="auto" w:fill="auto"/>
            <w:noWrap/>
            <w:vAlign w:val="center"/>
            <w:hideMark/>
          </w:tcPr>
          <w:p w14:paraId="0BB5EC0D"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Campeche</w:t>
            </w:r>
          </w:p>
        </w:tc>
        <w:tc>
          <w:tcPr>
            <w:tcW w:w="1591" w:type="dxa"/>
            <w:shd w:val="clear" w:color="auto" w:fill="auto"/>
            <w:noWrap/>
            <w:vAlign w:val="center"/>
            <w:hideMark/>
          </w:tcPr>
          <w:p w14:paraId="5D2D5A1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11</w:t>
            </w:r>
          </w:p>
        </w:tc>
        <w:tc>
          <w:tcPr>
            <w:tcW w:w="1691" w:type="dxa"/>
            <w:shd w:val="clear" w:color="auto" w:fill="auto"/>
            <w:noWrap/>
            <w:vAlign w:val="center"/>
            <w:hideMark/>
          </w:tcPr>
          <w:p w14:paraId="2FE69E2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w:t>
            </w:r>
          </w:p>
        </w:tc>
        <w:tc>
          <w:tcPr>
            <w:tcW w:w="1873" w:type="dxa"/>
            <w:shd w:val="clear" w:color="auto" w:fill="auto"/>
            <w:noWrap/>
            <w:vAlign w:val="center"/>
            <w:hideMark/>
          </w:tcPr>
          <w:p w14:paraId="3D4EA1BA"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0.81</w:t>
            </w:r>
          </w:p>
        </w:tc>
      </w:tr>
      <w:tr w:rsidR="009146BA" w:rsidRPr="00E503CA" w14:paraId="5BFA9C55" w14:textId="77777777" w:rsidTr="00A76F1C">
        <w:trPr>
          <w:trHeight w:val="300"/>
        </w:trPr>
        <w:tc>
          <w:tcPr>
            <w:tcW w:w="2085" w:type="dxa"/>
            <w:shd w:val="clear" w:color="auto" w:fill="auto"/>
            <w:noWrap/>
            <w:vAlign w:val="center"/>
            <w:hideMark/>
          </w:tcPr>
          <w:p w14:paraId="50E9237B"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Hidalgo</w:t>
            </w:r>
          </w:p>
        </w:tc>
        <w:tc>
          <w:tcPr>
            <w:tcW w:w="1591" w:type="dxa"/>
            <w:shd w:val="clear" w:color="auto" w:fill="auto"/>
            <w:noWrap/>
            <w:vAlign w:val="center"/>
            <w:hideMark/>
          </w:tcPr>
          <w:p w14:paraId="1B03185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84</w:t>
            </w:r>
          </w:p>
        </w:tc>
        <w:tc>
          <w:tcPr>
            <w:tcW w:w="1691" w:type="dxa"/>
            <w:shd w:val="clear" w:color="auto" w:fill="auto"/>
            <w:noWrap/>
            <w:vAlign w:val="center"/>
            <w:hideMark/>
          </w:tcPr>
          <w:p w14:paraId="60C8FE8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w:t>
            </w:r>
          </w:p>
        </w:tc>
        <w:tc>
          <w:tcPr>
            <w:tcW w:w="1873" w:type="dxa"/>
            <w:shd w:val="clear" w:color="auto" w:fill="auto"/>
            <w:noWrap/>
            <w:vAlign w:val="center"/>
            <w:hideMark/>
          </w:tcPr>
          <w:p w14:paraId="19DA04E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0.81</w:t>
            </w:r>
          </w:p>
        </w:tc>
      </w:tr>
      <w:tr w:rsidR="009146BA" w:rsidRPr="00E503CA" w14:paraId="0239A6DC" w14:textId="77777777" w:rsidTr="00A76F1C">
        <w:trPr>
          <w:trHeight w:val="300"/>
        </w:trPr>
        <w:tc>
          <w:tcPr>
            <w:tcW w:w="2085" w:type="dxa"/>
            <w:shd w:val="clear" w:color="auto" w:fill="auto"/>
            <w:noWrap/>
            <w:vAlign w:val="center"/>
            <w:hideMark/>
          </w:tcPr>
          <w:p w14:paraId="384C4C3C" w14:textId="77777777" w:rsidR="009146BA" w:rsidRPr="00573FA5" w:rsidRDefault="00A76F1C">
            <w:pPr>
              <w:spacing w:after="0" w:line="240" w:lineRule="auto"/>
              <w:jc w:val="left"/>
              <w:rPr>
                <w:rFonts w:eastAsia="Times New Roman" w:cs="Times New Roman"/>
                <w:color w:val="000000"/>
                <w:sz w:val="18"/>
                <w:szCs w:val="18"/>
              </w:rPr>
            </w:pPr>
            <w:r w:rsidRPr="00573FA5">
              <w:rPr>
                <w:sz w:val="18"/>
                <w:szCs w:val="18"/>
              </w:rPr>
              <w:t>Ciudad de México</w:t>
            </w:r>
          </w:p>
        </w:tc>
        <w:tc>
          <w:tcPr>
            <w:tcW w:w="1591" w:type="dxa"/>
            <w:shd w:val="clear" w:color="auto" w:fill="auto"/>
            <w:noWrap/>
            <w:vAlign w:val="center"/>
            <w:hideMark/>
          </w:tcPr>
          <w:p w14:paraId="62156E1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16</w:t>
            </w:r>
          </w:p>
        </w:tc>
        <w:tc>
          <w:tcPr>
            <w:tcW w:w="1691" w:type="dxa"/>
            <w:shd w:val="clear" w:color="auto" w:fill="auto"/>
            <w:noWrap/>
            <w:vAlign w:val="center"/>
            <w:hideMark/>
          </w:tcPr>
          <w:p w14:paraId="6B2D4F7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w:t>
            </w:r>
          </w:p>
        </w:tc>
        <w:tc>
          <w:tcPr>
            <w:tcW w:w="1873" w:type="dxa"/>
            <w:shd w:val="clear" w:color="auto" w:fill="auto"/>
            <w:noWrap/>
            <w:vAlign w:val="center"/>
            <w:hideMark/>
          </w:tcPr>
          <w:p w14:paraId="444E12F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0.80</w:t>
            </w:r>
          </w:p>
        </w:tc>
      </w:tr>
      <w:tr w:rsidR="009146BA" w:rsidRPr="00E503CA" w14:paraId="23C1D83D" w14:textId="77777777" w:rsidTr="00A76F1C">
        <w:trPr>
          <w:trHeight w:val="300"/>
        </w:trPr>
        <w:tc>
          <w:tcPr>
            <w:tcW w:w="2085" w:type="dxa"/>
            <w:shd w:val="clear" w:color="auto" w:fill="auto"/>
            <w:noWrap/>
            <w:vAlign w:val="center"/>
            <w:hideMark/>
          </w:tcPr>
          <w:p w14:paraId="78C2EA55"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Tamaulipas</w:t>
            </w:r>
          </w:p>
        </w:tc>
        <w:tc>
          <w:tcPr>
            <w:tcW w:w="1591" w:type="dxa"/>
            <w:shd w:val="clear" w:color="auto" w:fill="auto"/>
            <w:noWrap/>
            <w:vAlign w:val="center"/>
            <w:hideMark/>
          </w:tcPr>
          <w:p w14:paraId="68A4C9B9"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43</w:t>
            </w:r>
          </w:p>
        </w:tc>
        <w:tc>
          <w:tcPr>
            <w:tcW w:w="1691" w:type="dxa"/>
            <w:shd w:val="clear" w:color="auto" w:fill="auto"/>
            <w:noWrap/>
            <w:vAlign w:val="center"/>
            <w:hideMark/>
          </w:tcPr>
          <w:p w14:paraId="14DB9EF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6</w:t>
            </w:r>
          </w:p>
        </w:tc>
        <w:tc>
          <w:tcPr>
            <w:tcW w:w="1873" w:type="dxa"/>
            <w:shd w:val="clear" w:color="auto" w:fill="auto"/>
            <w:noWrap/>
            <w:vAlign w:val="center"/>
            <w:hideMark/>
          </w:tcPr>
          <w:p w14:paraId="486D4A2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0.76</w:t>
            </w:r>
          </w:p>
        </w:tc>
      </w:tr>
      <w:tr w:rsidR="009146BA" w:rsidRPr="00E503CA" w14:paraId="3F817F51" w14:textId="77777777" w:rsidTr="00A76F1C">
        <w:trPr>
          <w:trHeight w:val="300"/>
        </w:trPr>
        <w:tc>
          <w:tcPr>
            <w:tcW w:w="2085" w:type="dxa"/>
            <w:shd w:val="clear" w:color="auto" w:fill="auto"/>
            <w:noWrap/>
            <w:vAlign w:val="center"/>
            <w:hideMark/>
          </w:tcPr>
          <w:p w14:paraId="5E91667D"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Baja California</w:t>
            </w:r>
          </w:p>
        </w:tc>
        <w:tc>
          <w:tcPr>
            <w:tcW w:w="1591" w:type="dxa"/>
            <w:shd w:val="clear" w:color="auto" w:fill="auto"/>
            <w:noWrap/>
            <w:vAlign w:val="center"/>
            <w:hideMark/>
          </w:tcPr>
          <w:p w14:paraId="0B15AA7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w:t>
            </w:r>
          </w:p>
        </w:tc>
        <w:tc>
          <w:tcPr>
            <w:tcW w:w="1691" w:type="dxa"/>
            <w:shd w:val="clear" w:color="auto" w:fill="auto"/>
            <w:noWrap/>
            <w:vAlign w:val="center"/>
            <w:hideMark/>
          </w:tcPr>
          <w:p w14:paraId="5938938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7</w:t>
            </w:r>
          </w:p>
        </w:tc>
        <w:tc>
          <w:tcPr>
            <w:tcW w:w="1873" w:type="dxa"/>
            <w:shd w:val="clear" w:color="auto" w:fill="auto"/>
            <w:noWrap/>
            <w:vAlign w:val="center"/>
            <w:hideMark/>
          </w:tcPr>
          <w:p w14:paraId="6A7FAFA0"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0.73</w:t>
            </w:r>
          </w:p>
        </w:tc>
      </w:tr>
      <w:tr w:rsidR="009146BA" w:rsidRPr="00E503CA" w14:paraId="4C7A9C44" w14:textId="77777777" w:rsidTr="00A76F1C">
        <w:trPr>
          <w:trHeight w:val="300"/>
        </w:trPr>
        <w:tc>
          <w:tcPr>
            <w:tcW w:w="2085" w:type="dxa"/>
            <w:shd w:val="clear" w:color="auto" w:fill="auto"/>
            <w:noWrap/>
            <w:vAlign w:val="center"/>
            <w:hideMark/>
          </w:tcPr>
          <w:p w14:paraId="65FE195F"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Quintana Roo</w:t>
            </w:r>
          </w:p>
        </w:tc>
        <w:tc>
          <w:tcPr>
            <w:tcW w:w="1591" w:type="dxa"/>
            <w:shd w:val="clear" w:color="auto" w:fill="auto"/>
            <w:noWrap/>
            <w:vAlign w:val="center"/>
            <w:hideMark/>
          </w:tcPr>
          <w:p w14:paraId="60202E4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10</w:t>
            </w:r>
          </w:p>
        </w:tc>
        <w:tc>
          <w:tcPr>
            <w:tcW w:w="1691" w:type="dxa"/>
            <w:shd w:val="clear" w:color="auto" w:fill="auto"/>
            <w:noWrap/>
            <w:vAlign w:val="center"/>
            <w:hideMark/>
          </w:tcPr>
          <w:p w14:paraId="4D9C0853"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7</w:t>
            </w:r>
          </w:p>
        </w:tc>
        <w:tc>
          <w:tcPr>
            <w:tcW w:w="1873" w:type="dxa"/>
            <w:shd w:val="clear" w:color="auto" w:fill="auto"/>
            <w:noWrap/>
            <w:vAlign w:val="center"/>
            <w:hideMark/>
          </w:tcPr>
          <w:p w14:paraId="75F82A4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0.73</w:t>
            </w:r>
          </w:p>
        </w:tc>
      </w:tr>
      <w:tr w:rsidR="009146BA" w:rsidRPr="00E503CA" w14:paraId="3BEBD183" w14:textId="77777777" w:rsidTr="00A76F1C">
        <w:trPr>
          <w:trHeight w:val="300"/>
        </w:trPr>
        <w:tc>
          <w:tcPr>
            <w:tcW w:w="2085" w:type="dxa"/>
            <w:shd w:val="clear" w:color="auto" w:fill="auto"/>
            <w:noWrap/>
            <w:vAlign w:val="center"/>
            <w:hideMark/>
          </w:tcPr>
          <w:p w14:paraId="16C9B8A5"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Coahuila</w:t>
            </w:r>
          </w:p>
        </w:tc>
        <w:tc>
          <w:tcPr>
            <w:tcW w:w="1591" w:type="dxa"/>
            <w:shd w:val="clear" w:color="auto" w:fill="auto"/>
            <w:noWrap/>
            <w:vAlign w:val="center"/>
            <w:hideMark/>
          </w:tcPr>
          <w:p w14:paraId="53BD408C"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38</w:t>
            </w:r>
          </w:p>
        </w:tc>
        <w:tc>
          <w:tcPr>
            <w:tcW w:w="1691" w:type="dxa"/>
            <w:shd w:val="clear" w:color="auto" w:fill="auto"/>
            <w:noWrap/>
            <w:vAlign w:val="center"/>
            <w:hideMark/>
          </w:tcPr>
          <w:p w14:paraId="1E6213F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9</w:t>
            </w:r>
          </w:p>
        </w:tc>
        <w:tc>
          <w:tcPr>
            <w:tcW w:w="1873" w:type="dxa"/>
            <w:shd w:val="clear" w:color="auto" w:fill="auto"/>
            <w:noWrap/>
            <w:vAlign w:val="center"/>
            <w:hideMark/>
          </w:tcPr>
          <w:p w14:paraId="33A429F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0.72</w:t>
            </w:r>
          </w:p>
        </w:tc>
      </w:tr>
      <w:tr w:rsidR="009146BA" w:rsidRPr="00E503CA" w14:paraId="32425BDC" w14:textId="77777777" w:rsidTr="00A76F1C">
        <w:trPr>
          <w:trHeight w:val="300"/>
        </w:trPr>
        <w:tc>
          <w:tcPr>
            <w:tcW w:w="2085" w:type="dxa"/>
            <w:shd w:val="clear" w:color="auto" w:fill="auto"/>
            <w:noWrap/>
            <w:vAlign w:val="center"/>
            <w:hideMark/>
          </w:tcPr>
          <w:p w14:paraId="60D15911"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San Luis Potosí</w:t>
            </w:r>
          </w:p>
        </w:tc>
        <w:tc>
          <w:tcPr>
            <w:tcW w:w="1591" w:type="dxa"/>
            <w:shd w:val="clear" w:color="auto" w:fill="auto"/>
            <w:noWrap/>
            <w:vAlign w:val="center"/>
            <w:hideMark/>
          </w:tcPr>
          <w:p w14:paraId="5A52D02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58</w:t>
            </w:r>
          </w:p>
        </w:tc>
        <w:tc>
          <w:tcPr>
            <w:tcW w:w="1691" w:type="dxa"/>
            <w:shd w:val="clear" w:color="auto" w:fill="auto"/>
            <w:noWrap/>
            <w:vAlign w:val="center"/>
            <w:hideMark/>
          </w:tcPr>
          <w:p w14:paraId="3607F5A8"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9</w:t>
            </w:r>
          </w:p>
        </w:tc>
        <w:tc>
          <w:tcPr>
            <w:tcW w:w="1873" w:type="dxa"/>
            <w:shd w:val="clear" w:color="auto" w:fill="auto"/>
            <w:noWrap/>
            <w:vAlign w:val="center"/>
            <w:hideMark/>
          </w:tcPr>
          <w:p w14:paraId="6A67FC2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0.72</w:t>
            </w:r>
          </w:p>
        </w:tc>
      </w:tr>
      <w:tr w:rsidR="009146BA" w:rsidRPr="00E503CA" w14:paraId="6096E4ED" w14:textId="77777777" w:rsidTr="00A76F1C">
        <w:trPr>
          <w:trHeight w:val="300"/>
        </w:trPr>
        <w:tc>
          <w:tcPr>
            <w:tcW w:w="2085" w:type="dxa"/>
            <w:shd w:val="clear" w:color="auto" w:fill="auto"/>
            <w:noWrap/>
            <w:vAlign w:val="center"/>
            <w:hideMark/>
          </w:tcPr>
          <w:p w14:paraId="36CAD705"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Tabasco</w:t>
            </w:r>
          </w:p>
        </w:tc>
        <w:tc>
          <w:tcPr>
            <w:tcW w:w="1591" w:type="dxa"/>
            <w:shd w:val="clear" w:color="auto" w:fill="auto"/>
            <w:noWrap/>
            <w:vAlign w:val="center"/>
            <w:hideMark/>
          </w:tcPr>
          <w:p w14:paraId="1EA7BB5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17</w:t>
            </w:r>
          </w:p>
        </w:tc>
        <w:tc>
          <w:tcPr>
            <w:tcW w:w="1691" w:type="dxa"/>
            <w:shd w:val="clear" w:color="auto" w:fill="auto"/>
            <w:noWrap/>
            <w:vAlign w:val="center"/>
            <w:hideMark/>
          </w:tcPr>
          <w:p w14:paraId="23CA373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11</w:t>
            </w:r>
          </w:p>
        </w:tc>
        <w:tc>
          <w:tcPr>
            <w:tcW w:w="1873" w:type="dxa"/>
            <w:shd w:val="clear" w:color="auto" w:fill="auto"/>
            <w:noWrap/>
            <w:vAlign w:val="center"/>
            <w:hideMark/>
          </w:tcPr>
          <w:p w14:paraId="1FB43D0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0.71</w:t>
            </w:r>
          </w:p>
        </w:tc>
      </w:tr>
      <w:tr w:rsidR="009146BA" w:rsidRPr="00E503CA" w14:paraId="54A50629" w14:textId="77777777" w:rsidTr="00A76F1C">
        <w:trPr>
          <w:trHeight w:val="300"/>
        </w:trPr>
        <w:tc>
          <w:tcPr>
            <w:tcW w:w="2085" w:type="dxa"/>
            <w:shd w:val="clear" w:color="auto" w:fill="auto"/>
            <w:noWrap/>
            <w:vAlign w:val="center"/>
            <w:hideMark/>
          </w:tcPr>
          <w:p w14:paraId="17D943B3"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Chiapas</w:t>
            </w:r>
          </w:p>
        </w:tc>
        <w:tc>
          <w:tcPr>
            <w:tcW w:w="1591" w:type="dxa"/>
            <w:shd w:val="clear" w:color="auto" w:fill="auto"/>
            <w:noWrap/>
            <w:vAlign w:val="center"/>
            <w:hideMark/>
          </w:tcPr>
          <w:p w14:paraId="0506D73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118</w:t>
            </w:r>
          </w:p>
        </w:tc>
        <w:tc>
          <w:tcPr>
            <w:tcW w:w="1691" w:type="dxa"/>
            <w:shd w:val="clear" w:color="auto" w:fill="auto"/>
            <w:noWrap/>
            <w:vAlign w:val="center"/>
            <w:hideMark/>
          </w:tcPr>
          <w:p w14:paraId="727AFA6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12</w:t>
            </w:r>
          </w:p>
        </w:tc>
        <w:tc>
          <w:tcPr>
            <w:tcW w:w="1873" w:type="dxa"/>
            <w:shd w:val="clear" w:color="auto" w:fill="auto"/>
            <w:noWrap/>
            <w:vAlign w:val="center"/>
            <w:hideMark/>
          </w:tcPr>
          <w:p w14:paraId="72E4F55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0.69</w:t>
            </w:r>
          </w:p>
        </w:tc>
      </w:tr>
      <w:tr w:rsidR="009146BA" w:rsidRPr="00E503CA" w14:paraId="53A59DCF" w14:textId="77777777" w:rsidTr="00A76F1C">
        <w:trPr>
          <w:trHeight w:val="300"/>
        </w:trPr>
        <w:tc>
          <w:tcPr>
            <w:tcW w:w="2085" w:type="dxa"/>
            <w:shd w:val="clear" w:color="auto" w:fill="auto"/>
            <w:noWrap/>
            <w:vAlign w:val="center"/>
            <w:hideMark/>
          </w:tcPr>
          <w:p w14:paraId="59EA40F7"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Querétaro</w:t>
            </w:r>
          </w:p>
        </w:tc>
        <w:tc>
          <w:tcPr>
            <w:tcW w:w="1591" w:type="dxa"/>
            <w:shd w:val="clear" w:color="auto" w:fill="auto"/>
            <w:noWrap/>
            <w:vAlign w:val="center"/>
            <w:hideMark/>
          </w:tcPr>
          <w:p w14:paraId="0ACB170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18</w:t>
            </w:r>
          </w:p>
        </w:tc>
        <w:tc>
          <w:tcPr>
            <w:tcW w:w="1691" w:type="dxa"/>
            <w:shd w:val="clear" w:color="auto" w:fill="auto"/>
            <w:noWrap/>
            <w:vAlign w:val="center"/>
            <w:hideMark/>
          </w:tcPr>
          <w:p w14:paraId="2C4026F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13</w:t>
            </w:r>
          </w:p>
        </w:tc>
        <w:tc>
          <w:tcPr>
            <w:tcW w:w="1873" w:type="dxa"/>
            <w:shd w:val="clear" w:color="auto" w:fill="auto"/>
            <w:noWrap/>
            <w:vAlign w:val="center"/>
            <w:hideMark/>
          </w:tcPr>
          <w:p w14:paraId="3423920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0.68</w:t>
            </w:r>
          </w:p>
        </w:tc>
      </w:tr>
      <w:tr w:rsidR="009146BA" w:rsidRPr="00E503CA" w14:paraId="46EB74D5" w14:textId="77777777" w:rsidTr="00A76F1C">
        <w:trPr>
          <w:trHeight w:val="300"/>
        </w:trPr>
        <w:tc>
          <w:tcPr>
            <w:tcW w:w="2085" w:type="dxa"/>
            <w:shd w:val="clear" w:color="auto" w:fill="auto"/>
            <w:noWrap/>
            <w:vAlign w:val="center"/>
            <w:hideMark/>
          </w:tcPr>
          <w:p w14:paraId="13A3FFCB"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Tlaxcala</w:t>
            </w:r>
          </w:p>
        </w:tc>
        <w:tc>
          <w:tcPr>
            <w:tcW w:w="1591" w:type="dxa"/>
            <w:shd w:val="clear" w:color="auto" w:fill="auto"/>
            <w:noWrap/>
            <w:vAlign w:val="center"/>
            <w:hideMark/>
          </w:tcPr>
          <w:p w14:paraId="1598D050"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60</w:t>
            </w:r>
          </w:p>
        </w:tc>
        <w:tc>
          <w:tcPr>
            <w:tcW w:w="1691" w:type="dxa"/>
            <w:shd w:val="clear" w:color="auto" w:fill="auto"/>
            <w:noWrap/>
            <w:vAlign w:val="center"/>
            <w:hideMark/>
          </w:tcPr>
          <w:p w14:paraId="227C3E1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13</w:t>
            </w:r>
          </w:p>
        </w:tc>
        <w:tc>
          <w:tcPr>
            <w:tcW w:w="1873" w:type="dxa"/>
            <w:shd w:val="clear" w:color="auto" w:fill="auto"/>
            <w:noWrap/>
            <w:vAlign w:val="center"/>
            <w:hideMark/>
          </w:tcPr>
          <w:p w14:paraId="1365E413"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0.68</w:t>
            </w:r>
          </w:p>
        </w:tc>
      </w:tr>
      <w:tr w:rsidR="009146BA" w:rsidRPr="00E503CA" w14:paraId="3806C444" w14:textId="77777777" w:rsidTr="00A76F1C">
        <w:trPr>
          <w:trHeight w:val="300"/>
        </w:trPr>
        <w:tc>
          <w:tcPr>
            <w:tcW w:w="2085" w:type="dxa"/>
            <w:shd w:val="clear" w:color="auto" w:fill="auto"/>
            <w:noWrap/>
            <w:vAlign w:val="center"/>
            <w:hideMark/>
          </w:tcPr>
          <w:p w14:paraId="51EDF79A"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Durango</w:t>
            </w:r>
          </w:p>
        </w:tc>
        <w:tc>
          <w:tcPr>
            <w:tcW w:w="1591" w:type="dxa"/>
            <w:shd w:val="clear" w:color="auto" w:fill="auto"/>
            <w:noWrap/>
            <w:vAlign w:val="center"/>
            <w:hideMark/>
          </w:tcPr>
          <w:p w14:paraId="3140C230"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39</w:t>
            </w:r>
          </w:p>
        </w:tc>
        <w:tc>
          <w:tcPr>
            <w:tcW w:w="1691" w:type="dxa"/>
            <w:shd w:val="clear" w:color="auto" w:fill="auto"/>
            <w:noWrap/>
            <w:vAlign w:val="center"/>
            <w:hideMark/>
          </w:tcPr>
          <w:p w14:paraId="1C666CDA"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15</w:t>
            </w:r>
          </w:p>
        </w:tc>
        <w:tc>
          <w:tcPr>
            <w:tcW w:w="1873" w:type="dxa"/>
            <w:shd w:val="clear" w:color="auto" w:fill="auto"/>
            <w:noWrap/>
            <w:vAlign w:val="center"/>
            <w:hideMark/>
          </w:tcPr>
          <w:p w14:paraId="206AB0A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0.67</w:t>
            </w:r>
          </w:p>
        </w:tc>
      </w:tr>
      <w:tr w:rsidR="009146BA" w:rsidRPr="00E503CA" w14:paraId="2C4A3A31" w14:textId="77777777" w:rsidTr="00A76F1C">
        <w:trPr>
          <w:trHeight w:val="300"/>
        </w:trPr>
        <w:tc>
          <w:tcPr>
            <w:tcW w:w="2085" w:type="dxa"/>
            <w:shd w:val="clear" w:color="auto" w:fill="auto"/>
            <w:noWrap/>
            <w:vAlign w:val="center"/>
            <w:hideMark/>
          </w:tcPr>
          <w:p w14:paraId="76A42BE2"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Puebla</w:t>
            </w:r>
          </w:p>
        </w:tc>
        <w:tc>
          <w:tcPr>
            <w:tcW w:w="1591" w:type="dxa"/>
            <w:shd w:val="clear" w:color="auto" w:fill="auto"/>
            <w:noWrap/>
            <w:vAlign w:val="center"/>
            <w:hideMark/>
          </w:tcPr>
          <w:p w14:paraId="13346C60"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217</w:t>
            </w:r>
          </w:p>
        </w:tc>
        <w:tc>
          <w:tcPr>
            <w:tcW w:w="1691" w:type="dxa"/>
            <w:shd w:val="clear" w:color="auto" w:fill="auto"/>
            <w:noWrap/>
            <w:vAlign w:val="center"/>
            <w:hideMark/>
          </w:tcPr>
          <w:p w14:paraId="5D2E484F"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16</w:t>
            </w:r>
          </w:p>
        </w:tc>
        <w:tc>
          <w:tcPr>
            <w:tcW w:w="1873" w:type="dxa"/>
            <w:shd w:val="clear" w:color="auto" w:fill="auto"/>
            <w:noWrap/>
            <w:vAlign w:val="center"/>
            <w:hideMark/>
          </w:tcPr>
          <w:p w14:paraId="5398E9B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0.65</w:t>
            </w:r>
          </w:p>
        </w:tc>
      </w:tr>
      <w:tr w:rsidR="009146BA" w:rsidRPr="00E503CA" w14:paraId="16F23118" w14:textId="77777777" w:rsidTr="00A76F1C">
        <w:trPr>
          <w:trHeight w:val="300"/>
        </w:trPr>
        <w:tc>
          <w:tcPr>
            <w:tcW w:w="2085" w:type="dxa"/>
            <w:shd w:val="clear" w:color="auto" w:fill="auto"/>
            <w:noWrap/>
            <w:vAlign w:val="center"/>
            <w:hideMark/>
          </w:tcPr>
          <w:p w14:paraId="36A72C30"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Guanajuato</w:t>
            </w:r>
          </w:p>
        </w:tc>
        <w:tc>
          <w:tcPr>
            <w:tcW w:w="1591" w:type="dxa"/>
            <w:shd w:val="clear" w:color="auto" w:fill="auto"/>
            <w:noWrap/>
            <w:vAlign w:val="center"/>
            <w:hideMark/>
          </w:tcPr>
          <w:p w14:paraId="465704B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46</w:t>
            </w:r>
          </w:p>
        </w:tc>
        <w:tc>
          <w:tcPr>
            <w:tcW w:w="1691" w:type="dxa"/>
            <w:shd w:val="clear" w:color="auto" w:fill="auto"/>
            <w:noWrap/>
            <w:vAlign w:val="center"/>
            <w:hideMark/>
          </w:tcPr>
          <w:p w14:paraId="135D44D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17</w:t>
            </w:r>
          </w:p>
        </w:tc>
        <w:tc>
          <w:tcPr>
            <w:tcW w:w="1873" w:type="dxa"/>
            <w:shd w:val="clear" w:color="auto" w:fill="auto"/>
            <w:noWrap/>
            <w:vAlign w:val="center"/>
            <w:hideMark/>
          </w:tcPr>
          <w:p w14:paraId="7C279E5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0.61</w:t>
            </w:r>
          </w:p>
        </w:tc>
      </w:tr>
      <w:tr w:rsidR="009146BA" w:rsidRPr="00E503CA" w14:paraId="0A8469B1" w14:textId="77777777" w:rsidTr="00A76F1C">
        <w:trPr>
          <w:trHeight w:val="300"/>
        </w:trPr>
        <w:tc>
          <w:tcPr>
            <w:tcW w:w="2085" w:type="dxa"/>
            <w:shd w:val="clear" w:color="auto" w:fill="auto"/>
            <w:noWrap/>
            <w:vAlign w:val="center"/>
            <w:hideMark/>
          </w:tcPr>
          <w:p w14:paraId="64523644"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Sinaloa</w:t>
            </w:r>
          </w:p>
        </w:tc>
        <w:tc>
          <w:tcPr>
            <w:tcW w:w="1591" w:type="dxa"/>
            <w:shd w:val="clear" w:color="auto" w:fill="auto"/>
            <w:noWrap/>
            <w:vAlign w:val="center"/>
            <w:hideMark/>
          </w:tcPr>
          <w:p w14:paraId="40F8B2A8"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18</w:t>
            </w:r>
          </w:p>
        </w:tc>
        <w:tc>
          <w:tcPr>
            <w:tcW w:w="1691" w:type="dxa"/>
            <w:shd w:val="clear" w:color="auto" w:fill="auto"/>
            <w:noWrap/>
            <w:vAlign w:val="center"/>
            <w:hideMark/>
          </w:tcPr>
          <w:p w14:paraId="1FEABCB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18</w:t>
            </w:r>
          </w:p>
        </w:tc>
        <w:tc>
          <w:tcPr>
            <w:tcW w:w="1873" w:type="dxa"/>
            <w:shd w:val="clear" w:color="auto" w:fill="auto"/>
            <w:noWrap/>
            <w:vAlign w:val="center"/>
            <w:hideMark/>
          </w:tcPr>
          <w:p w14:paraId="0B56584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0.59</w:t>
            </w:r>
          </w:p>
        </w:tc>
      </w:tr>
      <w:tr w:rsidR="009146BA" w:rsidRPr="00E503CA" w14:paraId="5EF23A8C" w14:textId="77777777" w:rsidTr="00A76F1C">
        <w:trPr>
          <w:trHeight w:val="300"/>
        </w:trPr>
        <w:tc>
          <w:tcPr>
            <w:tcW w:w="2085" w:type="dxa"/>
            <w:shd w:val="clear" w:color="auto" w:fill="auto"/>
            <w:noWrap/>
            <w:vAlign w:val="center"/>
            <w:hideMark/>
          </w:tcPr>
          <w:p w14:paraId="14D767FF"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Yucatán</w:t>
            </w:r>
          </w:p>
        </w:tc>
        <w:tc>
          <w:tcPr>
            <w:tcW w:w="1591" w:type="dxa"/>
            <w:shd w:val="clear" w:color="auto" w:fill="auto"/>
            <w:noWrap/>
            <w:vAlign w:val="center"/>
            <w:hideMark/>
          </w:tcPr>
          <w:p w14:paraId="26BD5A0F"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106</w:t>
            </w:r>
          </w:p>
        </w:tc>
        <w:tc>
          <w:tcPr>
            <w:tcW w:w="1691" w:type="dxa"/>
            <w:shd w:val="clear" w:color="auto" w:fill="auto"/>
            <w:noWrap/>
            <w:vAlign w:val="center"/>
            <w:hideMark/>
          </w:tcPr>
          <w:p w14:paraId="4934C2AC"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19</w:t>
            </w:r>
          </w:p>
        </w:tc>
        <w:tc>
          <w:tcPr>
            <w:tcW w:w="1873" w:type="dxa"/>
            <w:shd w:val="clear" w:color="auto" w:fill="auto"/>
            <w:noWrap/>
            <w:vAlign w:val="center"/>
            <w:hideMark/>
          </w:tcPr>
          <w:p w14:paraId="081D166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0.58</w:t>
            </w:r>
          </w:p>
        </w:tc>
      </w:tr>
      <w:tr w:rsidR="009146BA" w:rsidRPr="00E503CA" w14:paraId="6CF60251" w14:textId="77777777" w:rsidTr="00A76F1C">
        <w:trPr>
          <w:trHeight w:val="300"/>
        </w:trPr>
        <w:tc>
          <w:tcPr>
            <w:tcW w:w="2085" w:type="dxa"/>
            <w:shd w:val="clear" w:color="auto" w:fill="auto"/>
            <w:noWrap/>
            <w:vAlign w:val="center"/>
            <w:hideMark/>
          </w:tcPr>
          <w:p w14:paraId="0DBCFCBB"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Chihuahua</w:t>
            </w:r>
          </w:p>
        </w:tc>
        <w:tc>
          <w:tcPr>
            <w:tcW w:w="1591" w:type="dxa"/>
            <w:shd w:val="clear" w:color="auto" w:fill="auto"/>
            <w:noWrap/>
            <w:vAlign w:val="center"/>
            <w:hideMark/>
          </w:tcPr>
          <w:p w14:paraId="26384CA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67</w:t>
            </w:r>
          </w:p>
        </w:tc>
        <w:tc>
          <w:tcPr>
            <w:tcW w:w="1691" w:type="dxa"/>
            <w:shd w:val="clear" w:color="auto" w:fill="auto"/>
            <w:noWrap/>
            <w:vAlign w:val="center"/>
            <w:hideMark/>
          </w:tcPr>
          <w:p w14:paraId="58E2724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20</w:t>
            </w:r>
          </w:p>
        </w:tc>
        <w:tc>
          <w:tcPr>
            <w:tcW w:w="1873" w:type="dxa"/>
            <w:shd w:val="clear" w:color="auto" w:fill="auto"/>
            <w:noWrap/>
            <w:vAlign w:val="center"/>
            <w:hideMark/>
          </w:tcPr>
          <w:p w14:paraId="0246B0B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0.57</w:t>
            </w:r>
          </w:p>
        </w:tc>
      </w:tr>
      <w:tr w:rsidR="009146BA" w:rsidRPr="00E503CA" w14:paraId="7D83944C" w14:textId="77777777" w:rsidTr="00A76F1C">
        <w:trPr>
          <w:trHeight w:val="300"/>
        </w:trPr>
        <w:tc>
          <w:tcPr>
            <w:tcW w:w="2085" w:type="dxa"/>
            <w:shd w:val="clear" w:color="auto" w:fill="auto"/>
            <w:noWrap/>
            <w:vAlign w:val="center"/>
            <w:hideMark/>
          </w:tcPr>
          <w:p w14:paraId="34C3D337"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Nuevo León</w:t>
            </w:r>
          </w:p>
        </w:tc>
        <w:tc>
          <w:tcPr>
            <w:tcW w:w="1591" w:type="dxa"/>
            <w:shd w:val="clear" w:color="auto" w:fill="auto"/>
            <w:noWrap/>
            <w:vAlign w:val="center"/>
            <w:hideMark/>
          </w:tcPr>
          <w:p w14:paraId="578AC43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51</w:t>
            </w:r>
          </w:p>
        </w:tc>
        <w:tc>
          <w:tcPr>
            <w:tcW w:w="1691" w:type="dxa"/>
            <w:shd w:val="clear" w:color="auto" w:fill="auto"/>
            <w:noWrap/>
            <w:vAlign w:val="center"/>
            <w:hideMark/>
          </w:tcPr>
          <w:p w14:paraId="019646A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20</w:t>
            </w:r>
          </w:p>
        </w:tc>
        <w:tc>
          <w:tcPr>
            <w:tcW w:w="1873" w:type="dxa"/>
            <w:shd w:val="clear" w:color="auto" w:fill="auto"/>
            <w:noWrap/>
            <w:vAlign w:val="center"/>
            <w:hideMark/>
          </w:tcPr>
          <w:p w14:paraId="7D2131E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0.57</w:t>
            </w:r>
          </w:p>
        </w:tc>
      </w:tr>
      <w:tr w:rsidR="009146BA" w:rsidRPr="00E503CA" w14:paraId="2C7E76F8" w14:textId="77777777" w:rsidTr="00A76F1C">
        <w:trPr>
          <w:trHeight w:val="300"/>
        </w:trPr>
        <w:tc>
          <w:tcPr>
            <w:tcW w:w="2085" w:type="dxa"/>
            <w:shd w:val="clear" w:color="auto" w:fill="auto"/>
            <w:noWrap/>
            <w:vAlign w:val="center"/>
            <w:hideMark/>
          </w:tcPr>
          <w:p w14:paraId="3BDD3440"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Zacatecas</w:t>
            </w:r>
          </w:p>
        </w:tc>
        <w:tc>
          <w:tcPr>
            <w:tcW w:w="1591" w:type="dxa"/>
            <w:shd w:val="clear" w:color="auto" w:fill="auto"/>
            <w:noWrap/>
            <w:vAlign w:val="center"/>
            <w:hideMark/>
          </w:tcPr>
          <w:p w14:paraId="302A52D8"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58</w:t>
            </w:r>
          </w:p>
        </w:tc>
        <w:tc>
          <w:tcPr>
            <w:tcW w:w="1691" w:type="dxa"/>
            <w:shd w:val="clear" w:color="auto" w:fill="auto"/>
            <w:noWrap/>
            <w:vAlign w:val="center"/>
            <w:hideMark/>
          </w:tcPr>
          <w:p w14:paraId="62B8E8E8"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20</w:t>
            </w:r>
          </w:p>
        </w:tc>
        <w:tc>
          <w:tcPr>
            <w:tcW w:w="1873" w:type="dxa"/>
            <w:shd w:val="clear" w:color="auto" w:fill="auto"/>
            <w:noWrap/>
            <w:vAlign w:val="center"/>
            <w:hideMark/>
          </w:tcPr>
          <w:p w14:paraId="6ACBEE3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0.57</w:t>
            </w:r>
          </w:p>
        </w:tc>
      </w:tr>
      <w:tr w:rsidR="009146BA" w:rsidRPr="00E503CA" w14:paraId="00D370B2" w14:textId="77777777" w:rsidTr="00A76F1C">
        <w:trPr>
          <w:trHeight w:val="300"/>
        </w:trPr>
        <w:tc>
          <w:tcPr>
            <w:tcW w:w="2085" w:type="dxa"/>
            <w:shd w:val="clear" w:color="auto" w:fill="auto"/>
            <w:noWrap/>
            <w:vAlign w:val="center"/>
            <w:hideMark/>
          </w:tcPr>
          <w:p w14:paraId="0AA6CA8F"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Colima</w:t>
            </w:r>
          </w:p>
        </w:tc>
        <w:tc>
          <w:tcPr>
            <w:tcW w:w="1591" w:type="dxa"/>
            <w:shd w:val="clear" w:color="auto" w:fill="auto"/>
            <w:noWrap/>
            <w:vAlign w:val="center"/>
            <w:hideMark/>
          </w:tcPr>
          <w:p w14:paraId="3BB587D9"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10</w:t>
            </w:r>
          </w:p>
        </w:tc>
        <w:tc>
          <w:tcPr>
            <w:tcW w:w="1691" w:type="dxa"/>
            <w:shd w:val="clear" w:color="auto" w:fill="auto"/>
            <w:noWrap/>
            <w:vAlign w:val="center"/>
            <w:hideMark/>
          </w:tcPr>
          <w:p w14:paraId="3E2956A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23</w:t>
            </w:r>
          </w:p>
        </w:tc>
        <w:tc>
          <w:tcPr>
            <w:tcW w:w="1873" w:type="dxa"/>
            <w:shd w:val="clear" w:color="auto" w:fill="auto"/>
            <w:noWrap/>
            <w:vAlign w:val="center"/>
            <w:hideMark/>
          </w:tcPr>
          <w:p w14:paraId="52ED9E0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0.54</w:t>
            </w:r>
          </w:p>
        </w:tc>
      </w:tr>
      <w:tr w:rsidR="009146BA" w:rsidRPr="00E503CA" w14:paraId="0B79A352" w14:textId="77777777" w:rsidTr="00A76F1C">
        <w:trPr>
          <w:trHeight w:val="300"/>
        </w:trPr>
        <w:tc>
          <w:tcPr>
            <w:tcW w:w="2085" w:type="dxa"/>
            <w:shd w:val="clear" w:color="auto" w:fill="auto"/>
            <w:noWrap/>
            <w:vAlign w:val="center"/>
            <w:hideMark/>
          </w:tcPr>
          <w:p w14:paraId="4A971875"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Aguascalientes</w:t>
            </w:r>
          </w:p>
        </w:tc>
        <w:tc>
          <w:tcPr>
            <w:tcW w:w="1591" w:type="dxa"/>
            <w:shd w:val="clear" w:color="auto" w:fill="auto"/>
            <w:noWrap/>
            <w:vAlign w:val="center"/>
            <w:hideMark/>
          </w:tcPr>
          <w:p w14:paraId="2192186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11</w:t>
            </w:r>
          </w:p>
        </w:tc>
        <w:tc>
          <w:tcPr>
            <w:tcW w:w="1691" w:type="dxa"/>
            <w:shd w:val="clear" w:color="auto" w:fill="auto"/>
            <w:noWrap/>
            <w:vAlign w:val="center"/>
            <w:hideMark/>
          </w:tcPr>
          <w:p w14:paraId="7CBEC277"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24</w:t>
            </w:r>
          </w:p>
        </w:tc>
        <w:tc>
          <w:tcPr>
            <w:tcW w:w="1873" w:type="dxa"/>
            <w:shd w:val="clear" w:color="auto" w:fill="auto"/>
            <w:noWrap/>
            <w:vAlign w:val="center"/>
            <w:hideMark/>
          </w:tcPr>
          <w:p w14:paraId="3D373F0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0.53</w:t>
            </w:r>
          </w:p>
        </w:tc>
      </w:tr>
      <w:tr w:rsidR="009146BA" w:rsidRPr="00E503CA" w14:paraId="04AE9843" w14:textId="77777777" w:rsidTr="00A76F1C">
        <w:trPr>
          <w:trHeight w:val="300"/>
        </w:trPr>
        <w:tc>
          <w:tcPr>
            <w:tcW w:w="2085" w:type="dxa"/>
            <w:shd w:val="clear" w:color="auto" w:fill="auto"/>
            <w:noWrap/>
            <w:vAlign w:val="center"/>
            <w:hideMark/>
          </w:tcPr>
          <w:p w14:paraId="547B47F8"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Sonora</w:t>
            </w:r>
          </w:p>
        </w:tc>
        <w:tc>
          <w:tcPr>
            <w:tcW w:w="1591" w:type="dxa"/>
            <w:shd w:val="clear" w:color="auto" w:fill="auto"/>
            <w:noWrap/>
            <w:vAlign w:val="center"/>
            <w:hideMark/>
          </w:tcPr>
          <w:p w14:paraId="1884E45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72</w:t>
            </w:r>
          </w:p>
        </w:tc>
        <w:tc>
          <w:tcPr>
            <w:tcW w:w="1691" w:type="dxa"/>
            <w:shd w:val="clear" w:color="auto" w:fill="auto"/>
            <w:noWrap/>
            <w:vAlign w:val="center"/>
            <w:hideMark/>
          </w:tcPr>
          <w:p w14:paraId="3D39938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24</w:t>
            </w:r>
          </w:p>
        </w:tc>
        <w:tc>
          <w:tcPr>
            <w:tcW w:w="1873" w:type="dxa"/>
            <w:shd w:val="clear" w:color="auto" w:fill="auto"/>
            <w:noWrap/>
            <w:vAlign w:val="center"/>
            <w:hideMark/>
          </w:tcPr>
          <w:p w14:paraId="64DCC64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0.53</w:t>
            </w:r>
          </w:p>
        </w:tc>
      </w:tr>
      <w:tr w:rsidR="009146BA" w:rsidRPr="00E503CA" w14:paraId="020A4B11" w14:textId="77777777" w:rsidTr="00A76F1C">
        <w:trPr>
          <w:trHeight w:val="300"/>
        </w:trPr>
        <w:tc>
          <w:tcPr>
            <w:tcW w:w="2085" w:type="dxa"/>
            <w:shd w:val="clear" w:color="auto" w:fill="auto"/>
            <w:noWrap/>
            <w:vAlign w:val="center"/>
            <w:hideMark/>
          </w:tcPr>
          <w:p w14:paraId="3914045A"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Veracruz</w:t>
            </w:r>
          </w:p>
        </w:tc>
        <w:tc>
          <w:tcPr>
            <w:tcW w:w="1591" w:type="dxa"/>
            <w:shd w:val="clear" w:color="auto" w:fill="auto"/>
            <w:noWrap/>
            <w:vAlign w:val="center"/>
            <w:hideMark/>
          </w:tcPr>
          <w:p w14:paraId="4FF7CB8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212</w:t>
            </w:r>
          </w:p>
        </w:tc>
        <w:tc>
          <w:tcPr>
            <w:tcW w:w="1691" w:type="dxa"/>
            <w:shd w:val="clear" w:color="auto" w:fill="auto"/>
            <w:noWrap/>
            <w:vAlign w:val="center"/>
            <w:hideMark/>
          </w:tcPr>
          <w:p w14:paraId="704719C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24</w:t>
            </w:r>
          </w:p>
        </w:tc>
        <w:tc>
          <w:tcPr>
            <w:tcW w:w="1873" w:type="dxa"/>
            <w:shd w:val="clear" w:color="auto" w:fill="auto"/>
            <w:noWrap/>
            <w:vAlign w:val="center"/>
            <w:hideMark/>
          </w:tcPr>
          <w:p w14:paraId="72B4180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0.53</w:t>
            </w:r>
          </w:p>
        </w:tc>
      </w:tr>
      <w:tr w:rsidR="009146BA" w:rsidRPr="00E503CA" w14:paraId="5EFBC192" w14:textId="77777777" w:rsidTr="00A76F1C">
        <w:trPr>
          <w:trHeight w:val="300"/>
        </w:trPr>
        <w:tc>
          <w:tcPr>
            <w:tcW w:w="2085" w:type="dxa"/>
            <w:shd w:val="clear" w:color="auto" w:fill="auto"/>
            <w:noWrap/>
            <w:vAlign w:val="center"/>
            <w:hideMark/>
          </w:tcPr>
          <w:p w14:paraId="5FEE7728"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Baja California Sur</w:t>
            </w:r>
          </w:p>
        </w:tc>
        <w:tc>
          <w:tcPr>
            <w:tcW w:w="1591" w:type="dxa"/>
            <w:shd w:val="clear" w:color="auto" w:fill="auto"/>
            <w:noWrap/>
            <w:vAlign w:val="center"/>
            <w:hideMark/>
          </w:tcPr>
          <w:p w14:paraId="5A5E2B46"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w:t>
            </w:r>
          </w:p>
        </w:tc>
        <w:tc>
          <w:tcPr>
            <w:tcW w:w="1691" w:type="dxa"/>
            <w:shd w:val="clear" w:color="auto" w:fill="auto"/>
            <w:noWrap/>
            <w:vAlign w:val="center"/>
            <w:hideMark/>
          </w:tcPr>
          <w:p w14:paraId="69AF02EE"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27</w:t>
            </w:r>
          </w:p>
        </w:tc>
        <w:tc>
          <w:tcPr>
            <w:tcW w:w="1873" w:type="dxa"/>
            <w:shd w:val="clear" w:color="auto" w:fill="auto"/>
            <w:noWrap/>
            <w:vAlign w:val="center"/>
            <w:hideMark/>
          </w:tcPr>
          <w:p w14:paraId="7A1050E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0.52</w:t>
            </w:r>
          </w:p>
        </w:tc>
      </w:tr>
      <w:tr w:rsidR="009146BA" w:rsidRPr="00E503CA" w14:paraId="29F15697" w14:textId="77777777" w:rsidTr="00A76F1C">
        <w:trPr>
          <w:trHeight w:val="300"/>
        </w:trPr>
        <w:tc>
          <w:tcPr>
            <w:tcW w:w="2085" w:type="dxa"/>
            <w:shd w:val="clear" w:color="auto" w:fill="auto"/>
            <w:noWrap/>
            <w:vAlign w:val="center"/>
            <w:hideMark/>
          </w:tcPr>
          <w:p w14:paraId="7B3DE55D"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México</w:t>
            </w:r>
          </w:p>
        </w:tc>
        <w:tc>
          <w:tcPr>
            <w:tcW w:w="1591" w:type="dxa"/>
            <w:shd w:val="clear" w:color="auto" w:fill="auto"/>
            <w:noWrap/>
            <w:vAlign w:val="center"/>
            <w:hideMark/>
          </w:tcPr>
          <w:p w14:paraId="10950D22"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125</w:t>
            </w:r>
          </w:p>
        </w:tc>
        <w:tc>
          <w:tcPr>
            <w:tcW w:w="1691" w:type="dxa"/>
            <w:shd w:val="clear" w:color="auto" w:fill="auto"/>
            <w:noWrap/>
            <w:vAlign w:val="center"/>
            <w:hideMark/>
          </w:tcPr>
          <w:p w14:paraId="41259E0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28</w:t>
            </w:r>
          </w:p>
        </w:tc>
        <w:tc>
          <w:tcPr>
            <w:tcW w:w="1873" w:type="dxa"/>
            <w:shd w:val="clear" w:color="auto" w:fill="auto"/>
            <w:noWrap/>
            <w:vAlign w:val="center"/>
            <w:hideMark/>
          </w:tcPr>
          <w:p w14:paraId="5B2B5F3C"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0.49</w:t>
            </w:r>
          </w:p>
        </w:tc>
      </w:tr>
      <w:tr w:rsidR="009146BA" w:rsidRPr="00E503CA" w14:paraId="289482D3" w14:textId="77777777" w:rsidTr="00A76F1C">
        <w:trPr>
          <w:trHeight w:val="300"/>
        </w:trPr>
        <w:tc>
          <w:tcPr>
            <w:tcW w:w="2085" w:type="dxa"/>
            <w:shd w:val="clear" w:color="auto" w:fill="auto"/>
            <w:noWrap/>
            <w:vAlign w:val="center"/>
            <w:hideMark/>
          </w:tcPr>
          <w:p w14:paraId="2A93B7DF"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Michoacán</w:t>
            </w:r>
          </w:p>
        </w:tc>
        <w:tc>
          <w:tcPr>
            <w:tcW w:w="1591" w:type="dxa"/>
            <w:shd w:val="clear" w:color="auto" w:fill="auto"/>
            <w:noWrap/>
            <w:vAlign w:val="center"/>
            <w:hideMark/>
          </w:tcPr>
          <w:p w14:paraId="0001B7C3"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113</w:t>
            </w:r>
          </w:p>
        </w:tc>
        <w:tc>
          <w:tcPr>
            <w:tcW w:w="1691" w:type="dxa"/>
            <w:shd w:val="clear" w:color="auto" w:fill="auto"/>
            <w:noWrap/>
            <w:vAlign w:val="center"/>
            <w:hideMark/>
          </w:tcPr>
          <w:p w14:paraId="5CF36DD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28</w:t>
            </w:r>
          </w:p>
        </w:tc>
        <w:tc>
          <w:tcPr>
            <w:tcW w:w="1873" w:type="dxa"/>
            <w:shd w:val="clear" w:color="auto" w:fill="auto"/>
            <w:noWrap/>
            <w:vAlign w:val="center"/>
            <w:hideMark/>
          </w:tcPr>
          <w:p w14:paraId="01C974DA"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0.49</w:t>
            </w:r>
          </w:p>
        </w:tc>
      </w:tr>
      <w:tr w:rsidR="009146BA" w:rsidRPr="00E503CA" w14:paraId="0107F24E" w14:textId="77777777" w:rsidTr="00A76F1C">
        <w:trPr>
          <w:trHeight w:val="300"/>
        </w:trPr>
        <w:tc>
          <w:tcPr>
            <w:tcW w:w="2085" w:type="dxa"/>
            <w:shd w:val="clear" w:color="auto" w:fill="auto"/>
            <w:noWrap/>
            <w:vAlign w:val="center"/>
            <w:hideMark/>
          </w:tcPr>
          <w:p w14:paraId="646B91E6"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Jalisco</w:t>
            </w:r>
          </w:p>
        </w:tc>
        <w:tc>
          <w:tcPr>
            <w:tcW w:w="1591" w:type="dxa"/>
            <w:shd w:val="clear" w:color="auto" w:fill="auto"/>
            <w:noWrap/>
            <w:vAlign w:val="center"/>
            <w:hideMark/>
          </w:tcPr>
          <w:p w14:paraId="0DC90CB5"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125</w:t>
            </w:r>
          </w:p>
        </w:tc>
        <w:tc>
          <w:tcPr>
            <w:tcW w:w="1691" w:type="dxa"/>
            <w:shd w:val="clear" w:color="auto" w:fill="auto"/>
            <w:noWrap/>
            <w:vAlign w:val="center"/>
            <w:hideMark/>
          </w:tcPr>
          <w:p w14:paraId="74F941A9"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30</w:t>
            </w:r>
          </w:p>
        </w:tc>
        <w:tc>
          <w:tcPr>
            <w:tcW w:w="1873" w:type="dxa"/>
            <w:shd w:val="clear" w:color="auto" w:fill="auto"/>
            <w:noWrap/>
            <w:vAlign w:val="center"/>
            <w:hideMark/>
          </w:tcPr>
          <w:p w14:paraId="1958DC4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0.48</w:t>
            </w:r>
          </w:p>
        </w:tc>
      </w:tr>
      <w:tr w:rsidR="009146BA" w:rsidRPr="00E503CA" w14:paraId="28BB7B9D" w14:textId="77777777" w:rsidTr="00A76F1C">
        <w:trPr>
          <w:trHeight w:val="300"/>
        </w:trPr>
        <w:tc>
          <w:tcPr>
            <w:tcW w:w="2085" w:type="dxa"/>
            <w:shd w:val="clear" w:color="auto" w:fill="auto"/>
            <w:noWrap/>
            <w:vAlign w:val="center"/>
            <w:hideMark/>
          </w:tcPr>
          <w:p w14:paraId="28E751A2"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Oaxaca</w:t>
            </w:r>
          </w:p>
        </w:tc>
        <w:tc>
          <w:tcPr>
            <w:tcW w:w="1591" w:type="dxa"/>
            <w:shd w:val="clear" w:color="auto" w:fill="auto"/>
            <w:noWrap/>
            <w:vAlign w:val="center"/>
            <w:hideMark/>
          </w:tcPr>
          <w:p w14:paraId="4D338FA4"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570</w:t>
            </w:r>
          </w:p>
        </w:tc>
        <w:tc>
          <w:tcPr>
            <w:tcW w:w="1691" w:type="dxa"/>
            <w:shd w:val="clear" w:color="auto" w:fill="auto"/>
            <w:noWrap/>
            <w:vAlign w:val="center"/>
            <w:hideMark/>
          </w:tcPr>
          <w:p w14:paraId="4E1A591C"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30</w:t>
            </w:r>
          </w:p>
        </w:tc>
        <w:tc>
          <w:tcPr>
            <w:tcW w:w="1873" w:type="dxa"/>
            <w:shd w:val="clear" w:color="auto" w:fill="auto"/>
            <w:noWrap/>
            <w:vAlign w:val="center"/>
            <w:hideMark/>
          </w:tcPr>
          <w:p w14:paraId="63D9771D"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0.48</w:t>
            </w:r>
          </w:p>
        </w:tc>
      </w:tr>
      <w:tr w:rsidR="009146BA" w:rsidRPr="00E503CA" w14:paraId="2A585F1B" w14:textId="77777777" w:rsidTr="00A76F1C">
        <w:trPr>
          <w:trHeight w:val="300"/>
        </w:trPr>
        <w:tc>
          <w:tcPr>
            <w:tcW w:w="2085" w:type="dxa"/>
            <w:shd w:val="clear" w:color="auto" w:fill="auto"/>
            <w:noWrap/>
            <w:vAlign w:val="center"/>
            <w:hideMark/>
          </w:tcPr>
          <w:p w14:paraId="3B81F4FA" w14:textId="77777777" w:rsidR="009146BA" w:rsidRPr="00573FA5" w:rsidRDefault="009146BA">
            <w:pPr>
              <w:spacing w:after="0" w:line="240" w:lineRule="auto"/>
              <w:jc w:val="left"/>
              <w:rPr>
                <w:rFonts w:eastAsia="Times New Roman" w:cs="Times New Roman"/>
                <w:color w:val="000000"/>
                <w:sz w:val="18"/>
                <w:szCs w:val="18"/>
              </w:rPr>
            </w:pPr>
            <w:r w:rsidRPr="00573FA5">
              <w:rPr>
                <w:sz w:val="18"/>
                <w:szCs w:val="18"/>
              </w:rPr>
              <w:t>Guerrero</w:t>
            </w:r>
          </w:p>
        </w:tc>
        <w:tc>
          <w:tcPr>
            <w:tcW w:w="1591" w:type="dxa"/>
            <w:shd w:val="clear" w:color="auto" w:fill="auto"/>
            <w:noWrap/>
            <w:vAlign w:val="center"/>
            <w:hideMark/>
          </w:tcPr>
          <w:p w14:paraId="039FE47B"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81</w:t>
            </w:r>
          </w:p>
        </w:tc>
        <w:tc>
          <w:tcPr>
            <w:tcW w:w="1691" w:type="dxa"/>
            <w:shd w:val="clear" w:color="auto" w:fill="auto"/>
            <w:noWrap/>
            <w:vAlign w:val="center"/>
            <w:hideMark/>
          </w:tcPr>
          <w:p w14:paraId="280CE501"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32</w:t>
            </w:r>
          </w:p>
        </w:tc>
        <w:tc>
          <w:tcPr>
            <w:tcW w:w="1873" w:type="dxa"/>
            <w:shd w:val="clear" w:color="auto" w:fill="auto"/>
            <w:noWrap/>
            <w:vAlign w:val="center"/>
            <w:hideMark/>
          </w:tcPr>
          <w:p w14:paraId="11BA122F" w14:textId="77777777" w:rsidR="009146BA" w:rsidRPr="00573FA5" w:rsidRDefault="009146BA">
            <w:pPr>
              <w:spacing w:after="0" w:line="240" w:lineRule="auto"/>
              <w:jc w:val="center"/>
              <w:rPr>
                <w:rFonts w:eastAsia="Times New Roman" w:cs="Times New Roman"/>
                <w:color w:val="000000"/>
                <w:sz w:val="18"/>
                <w:szCs w:val="18"/>
              </w:rPr>
            </w:pPr>
            <w:r w:rsidRPr="00573FA5">
              <w:rPr>
                <w:sz w:val="18"/>
                <w:szCs w:val="18"/>
              </w:rPr>
              <w:t>0.35</w:t>
            </w:r>
          </w:p>
        </w:tc>
      </w:tr>
    </w:tbl>
    <w:p w14:paraId="1B4553F8" w14:textId="2F0A05BA" w:rsidR="00744789" w:rsidRDefault="00E81B85" w:rsidP="00E81B85">
      <w:pPr>
        <w:spacing w:after="0"/>
        <w:ind w:firstLine="567"/>
        <w:jc w:val="left"/>
        <w:rPr>
          <w:sz w:val="20"/>
        </w:rPr>
      </w:pPr>
      <w:r>
        <w:rPr>
          <w:sz w:val="20"/>
        </w:rPr>
        <w:t xml:space="preserve">           </w:t>
      </w:r>
      <w:r w:rsidR="009458DF" w:rsidRPr="007B4102">
        <w:rPr>
          <w:sz w:val="20"/>
        </w:rPr>
        <w:t>Fuente: Unidad de Evaluación del Desempeño, SHCP</w:t>
      </w:r>
    </w:p>
    <w:p w14:paraId="4DB31DAC" w14:textId="77777777" w:rsidR="007C14A8" w:rsidRDefault="007C14A8" w:rsidP="009458DF">
      <w:pPr>
        <w:spacing w:after="0"/>
        <w:jc w:val="center"/>
        <w:rPr>
          <w:sz w:val="20"/>
        </w:rPr>
      </w:pPr>
    </w:p>
    <w:p w14:paraId="6B861B62" w14:textId="3330BAF5" w:rsidR="007C14A8" w:rsidRPr="002D530B" w:rsidRDefault="006E3D6C" w:rsidP="00B86A00">
      <w:pPr>
        <w:spacing w:after="0"/>
        <w:ind w:firstLine="709"/>
      </w:pPr>
      <w:r w:rsidRPr="002D530B">
        <w:t xml:space="preserve">De lo anterior </w:t>
      </w:r>
      <w:r w:rsidR="00BF339A">
        <w:t>puede inferirse</w:t>
      </w:r>
      <w:r w:rsidRPr="002D530B">
        <w:t xml:space="preserve"> que </w:t>
      </w:r>
      <w:r w:rsidR="007C14A8" w:rsidRPr="002D530B">
        <w:t xml:space="preserve">el número de municipios </w:t>
      </w:r>
      <w:r w:rsidRPr="002D530B">
        <w:t xml:space="preserve">no es </w:t>
      </w:r>
      <w:r w:rsidR="00BF339A">
        <w:t>necesariamente</w:t>
      </w:r>
      <w:r w:rsidRPr="002D530B">
        <w:t xml:space="preserve"> un elemento determinante de la calidad de la información.</w:t>
      </w:r>
    </w:p>
    <w:p w14:paraId="12D57EE2" w14:textId="77777777" w:rsidR="00862E8D" w:rsidRDefault="008801AE" w:rsidP="007C14A8">
      <w:pPr>
        <w:pStyle w:val="Ttulo3"/>
      </w:pPr>
      <w:bookmarkStart w:id="8" w:name="_Toc447904080"/>
      <w:r>
        <w:lastRenderedPageBreak/>
        <w:t>Efectos de l</w:t>
      </w:r>
      <w:r w:rsidR="002E4487">
        <w:t>a disponibilidad tecnológica</w:t>
      </w:r>
      <w:bookmarkEnd w:id="8"/>
      <w:r w:rsidR="002E4487">
        <w:t xml:space="preserve"> </w:t>
      </w:r>
    </w:p>
    <w:p w14:paraId="23715661" w14:textId="512FAB2B" w:rsidR="00573FA5" w:rsidRDefault="00573FA5" w:rsidP="00E623BC">
      <w:pPr>
        <w:spacing w:after="0"/>
      </w:pPr>
      <w:r>
        <w:t xml:space="preserve">Es </w:t>
      </w:r>
      <w:r w:rsidR="004A797E">
        <w:t>importante resaltar que</w:t>
      </w:r>
      <w:r w:rsidR="002E4487">
        <w:t xml:space="preserve"> dado que el SFU es</w:t>
      </w:r>
      <w:r w:rsidR="004A797E">
        <w:t xml:space="preserve"> un sistema informático, los gobiernos locales requiere</w:t>
      </w:r>
      <w:r w:rsidR="00B14512">
        <w:t>n</w:t>
      </w:r>
      <w:r w:rsidR="00277087">
        <w:t xml:space="preserve"> de</w:t>
      </w:r>
      <w:r w:rsidR="004A797E">
        <w:t xml:space="preserve"> capacidades tecnológicas para realizar </w:t>
      </w:r>
      <w:r w:rsidR="006E3D6C">
        <w:t>l</w:t>
      </w:r>
      <w:r w:rsidR="002E4487">
        <w:t>a captura de dicha información.</w:t>
      </w:r>
      <w:r w:rsidR="005A2688">
        <w:t xml:space="preserve"> </w:t>
      </w:r>
      <w:r>
        <w:t>Lo anterior</w:t>
      </w:r>
      <w:r w:rsidR="006E3D6C">
        <w:t xml:space="preserve"> podría significar un reto para estados como</w:t>
      </w:r>
      <w:r w:rsidR="005A2688">
        <w:t xml:space="preserve"> Chiapas, </w:t>
      </w:r>
      <w:r w:rsidR="007B4102">
        <w:t>Tlaxcala,</w:t>
      </w:r>
      <w:r w:rsidR="005A2688">
        <w:t xml:space="preserve"> </w:t>
      </w:r>
      <w:r w:rsidR="007B4102">
        <w:t>Oaxaca y Guerrero</w:t>
      </w:r>
      <w:r w:rsidR="005A2688">
        <w:t>,</w:t>
      </w:r>
      <w:r w:rsidR="006E3D6C">
        <w:t xml:space="preserve"> donde menos de </w:t>
      </w:r>
      <w:r w:rsidR="007B4102">
        <w:t>tres</w:t>
      </w:r>
      <w:r w:rsidR="005A2688">
        <w:t xml:space="preserve"> de cada 10 hogares </w:t>
      </w:r>
      <w:r w:rsidR="006E3D6C">
        <w:t xml:space="preserve">cuentan </w:t>
      </w:r>
      <w:r w:rsidR="005A2688">
        <w:t xml:space="preserve">con acceso a </w:t>
      </w:r>
      <w:r w:rsidR="00BF339A">
        <w:t>Internet</w:t>
      </w:r>
      <w:r w:rsidR="00166579">
        <w:rPr>
          <w:rStyle w:val="Refdenotaalpie"/>
        </w:rPr>
        <w:footnoteReference w:id="6"/>
      </w:r>
      <w:r w:rsidR="005A2688">
        <w:t>.</w:t>
      </w:r>
      <w:r w:rsidR="00D55979">
        <w:t xml:space="preserve"> </w:t>
      </w:r>
      <w:r w:rsidR="002715A9">
        <w:t>Por lo cual</w:t>
      </w:r>
      <w:r w:rsidR="006E3D6C">
        <w:t>, es relevante a</w:t>
      </w:r>
      <w:r>
        <w:t xml:space="preserve">nalizar si el acceso a </w:t>
      </w:r>
      <w:r w:rsidR="00BF339A">
        <w:t>Internet</w:t>
      </w:r>
      <w:r w:rsidR="006E3D6C">
        <w:t xml:space="preserve"> constituye un impedimento homogéneo para la captura de la información</w:t>
      </w:r>
      <w:r w:rsidR="002715A9">
        <w:t xml:space="preserve">. </w:t>
      </w:r>
    </w:p>
    <w:p w14:paraId="4E0B9C82" w14:textId="77777777" w:rsidR="00D55979" w:rsidRDefault="002715A9" w:rsidP="00D55979">
      <w:pPr>
        <w:spacing w:after="0"/>
        <w:ind w:firstLine="708"/>
      </w:pPr>
      <w:r>
        <w:t>A continuación,</w:t>
      </w:r>
      <w:r w:rsidR="00277087">
        <w:t xml:space="preserve"> se muestra </w:t>
      </w:r>
      <w:r w:rsidR="00DC5E96">
        <w:t>la penetración digital</w:t>
      </w:r>
      <w:r w:rsidR="002D530B">
        <w:t xml:space="preserve"> de acuerdo con la medición del INEGI</w:t>
      </w:r>
      <w:r w:rsidR="00DC5E96">
        <w:rPr>
          <w:rStyle w:val="Refdenotaalpie"/>
        </w:rPr>
        <w:footnoteReference w:id="7"/>
      </w:r>
      <w:r w:rsidR="00C16225">
        <w:t xml:space="preserve"> en comparación con su ICI.</w:t>
      </w:r>
      <w:r w:rsidR="00DC5E96">
        <w:t xml:space="preserve"> </w:t>
      </w:r>
      <w:r w:rsidR="00C16225">
        <w:t>P</w:t>
      </w:r>
      <w:r w:rsidR="00573FA5">
        <w:t xml:space="preserve">ara ágil referencia, </w:t>
      </w:r>
      <w:r w:rsidR="00E07956">
        <w:t xml:space="preserve">en el eje vertical se </w:t>
      </w:r>
      <w:r w:rsidR="00C16225">
        <w:t xml:space="preserve">ordenan </w:t>
      </w:r>
      <w:r>
        <w:t>las entidades</w:t>
      </w:r>
      <w:r w:rsidR="00E633DF">
        <w:t xml:space="preserve"> federativas</w:t>
      </w:r>
      <w:r>
        <w:t xml:space="preserve"> en función del ICI del cuarto trimestre del 2015.</w:t>
      </w:r>
    </w:p>
    <w:p w14:paraId="2E7FF5D4" w14:textId="77777777" w:rsidR="00573FA5" w:rsidRDefault="00573FA5" w:rsidP="00D55979">
      <w:pPr>
        <w:spacing w:after="0"/>
        <w:ind w:firstLine="708"/>
      </w:pPr>
    </w:p>
    <w:p w14:paraId="7E068E3E" w14:textId="77777777" w:rsidR="007B4102" w:rsidRDefault="00C16225" w:rsidP="002D530B">
      <w:pPr>
        <w:spacing w:line="276" w:lineRule="auto"/>
        <w:jc w:val="left"/>
        <w:rPr>
          <w:rFonts w:eastAsia="Times New Roman" w:cs="Times New Roman"/>
          <w:b/>
          <w:bCs/>
          <w:color w:val="000000"/>
          <w:sz w:val="20"/>
          <w:szCs w:val="20"/>
        </w:rPr>
      </w:pPr>
      <w:r>
        <w:rPr>
          <w:rFonts w:eastAsia="Times New Roman" w:cs="Times New Roman"/>
          <w:b/>
          <w:bCs/>
          <w:color w:val="000000"/>
          <w:sz w:val="20"/>
          <w:szCs w:val="20"/>
        </w:rPr>
        <w:br w:type="page"/>
      </w:r>
      <w:r w:rsidR="007B4102" w:rsidRPr="0097032E">
        <w:rPr>
          <w:rFonts w:eastAsia="Times New Roman" w:cs="Times New Roman"/>
          <w:b/>
          <w:bCs/>
          <w:color w:val="000000"/>
          <w:sz w:val="20"/>
          <w:szCs w:val="20"/>
        </w:rPr>
        <w:lastRenderedPageBreak/>
        <w:t xml:space="preserve">Gráfico </w:t>
      </w:r>
      <w:r w:rsidR="00BD3BC0">
        <w:rPr>
          <w:rFonts w:eastAsia="Times New Roman" w:cs="Times New Roman"/>
          <w:b/>
          <w:bCs/>
          <w:color w:val="000000"/>
          <w:sz w:val="20"/>
          <w:szCs w:val="20"/>
        </w:rPr>
        <w:t>4</w:t>
      </w:r>
      <w:r w:rsidR="007B4102" w:rsidRPr="0097032E">
        <w:rPr>
          <w:rFonts w:eastAsia="Times New Roman" w:cs="Times New Roman"/>
          <w:b/>
          <w:bCs/>
          <w:color w:val="000000"/>
          <w:sz w:val="20"/>
          <w:szCs w:val="20"/>
        </w:rPr>
        <w:t xml:space="preserve">. </w:t>
      </w:r>
      <w:r>
        <w:rPr>
          <w:rFonts w:eastAsia="Times New Roman" w:cs="Times New Roman"/>
          <w:b/>
          <w:bCs/>
          <w:color w:val="000000"/>
          <w:sz w:val="20"/>
          <w:szCs w:val="20"/>
        </w:rPr>
        <w:t>Penetración digital</w:t>
      </w:r>
      <w:r w:rsidR="00D025B5">
        <w:rPr>
          <w:rFonts w:eastAsia="Times New Roman" w:cs="Times New Roman"/>
          <w:b/>
          <w:bCs/>
          <w:color w:val="000000"/>
          <w:sz w:val="20"/>
          <w:szCs w:val="20"/>
        </w:rPr>
        <w:t xml:space="preserve"> por entidad federativa, según su </w:t>
      </w:r>
      <w:r w:rsidR="00DC5E96">
        <w:rPr>
          <w:rFonts w:eastAsia="Times New Roman" w:cs="Times New Roman"/>
          <w:b/>
          <w:bCs/>
          <w:color w:val="000000"/>
          <w:sz w:val="20"/>
          <w:szCs w:val="20"/>
        </w:rPr>
        <w:t xml:space="preserve">clasificación </w:t>
      </w:r>
      <w:r w:rsidR="00D025B5">
        <w:rPr>
          <w:rFonts w:eastAsia="Times New Roman" w:cs="Times New Roman"/>
          <w:b/>
          <w:bCs/>
          <w:color w:val="000000"/>
          <w:sz w:val="20"/>
          <w:szCs w:val="20"/>
        </w:rPr>
        <w:t>en el ICI</w:t>
      </w:r>
    </w:p>
    <w:p w14:paraId="7DCE8A97" w14:textId="433C4D26" w:rsidR="007B4102" w:rsidRPr="001E7EF1" w:rsidRDefault="00B86A00" w:rsidP="001E7EF1">
      <w:pPr>
        <w:spacing w:line="276" w:lineRule="auto"/>
        <w:jc w:val="left"/>
        <w:rPr>
          <w:rFonts w:eastAsia="Times New Roman" w:cs="Times New Roman"/>
          <w:b/>
          <w:bCs/>
          <w:color w:val="000000"/>
          <w:sz w:val="20"/>
          <w:szCs w:val="20"/>
        </w:rPr>
      </w:pPr>
      <w:r>
        <w:rPr>
          <w:noProof/>
        </w:rPr>
        <w:drawing>
          <wp:inline distT="0" distB="0" distL="0" distR="0" wp14:anchorId="399EFE1D" wp14:editId="062CFAB3">
            <wp:extent cx="5612130" cy="5010150"/>
            <wp:effectExtent l="0" t="0" r="762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B4102" w:rsidRPr="002715A9">
        <w:rPr>
          <w:sz w:val="18"/>
        </w:rPr>
        <w:t>Fuente: Unidad de</w:t>
      </w:r>
      <w:r w:rsidR="00573FA5">
        <w:rPr>
          <w:sz w:val="18"/>
        </w:rPr>
        <w:t xml:space="preserve"> Evaluación del Desempeño, SHCP.</w:t>
      </w:r>
      <w:r w:rsidR="007B4102" w:rsidRPr="002715A9">
        <w:rPr>
          <w:sz w:val="18"/>
        </w:rPr>
        <w:t xml:space="preserve"> </w:t>
      </w:r>
      <w:r w:rsidR="00573FA5">
        <w:rPr>
          <w:sz w:val="18"/>
        </w:rPr>
        <w:t>E</w:t>
      </w:r>
      <w:r w:rsidR="00737D39" w:rsidRPr="002715A9">
        <w:rPr>
          <w:sz w:val="18"/>
        </w:rPr>
        <w:t xml:space="preserve">laborado </w:t>
      </w:r>
      <w:r w:rsidR="007B4102" w:rsidRPr="002715A9">
        <w:rPr>
          <w:sz w:val="18"/>
        </w:rPr>
        <w:t>con datos de Módulo sobre Disponibilidad y Uso de Tecnologías de la Información en los Hogares 2014</w:t>
      </w:r>
      <w:r w:rsidR="00737D39" w:rsidRPr="002715A9">
        <w:rPr>
          <w:sz w:val="18"/>
        </w:rPr>
        <w:t>, INEGI</w:t>
      </w:r>
      <w:r w:rsidR="007B4102" w:rsidRPr="002715A9">
        <w:rPr>
          <w:sz w:val="18"/>
        </w:rPr>
        <w:t>.</w:t>
      </w:r>
    </w:p>
    <w:p w14:paraId="77A7B318" w14:textId="77777777" w:rsidR="00573FA5" w:rsidRDefault="00573FA5" w:rsidP="002F416D">
      <w:pPr>
        <w:spacing w:after="0"/>
        <w:ind w:firstLine="708"/>
      </w:pPr>
    </w:p>
    <w:p w14:paraId="778EA3D0" w14:textId="4F698797" w:rsidR="006E3D6C" w:rsidRDefault="00E633DF" w:rsidP="002F416D">
      <w:pPr>
        <w:spacing w:after="0"/>
        <w:ind w:firstLine="708"/>
      </w:pPr>
      <w:r>
        <w:t xml:space="preserve">En el gráfico anterior se observa que hay entidades federativas con una menor penetración digital y con un valor del ICI superior, comparados con entidades que tienen una mayor penetración digital pero con un ICI sensiblemente menor. Tal es el caso, por ejemplo de Chiapas, que con un grado de penetración digital de 23% se encuentra en el lugar 12 </w:t>
      </w:r>
      <w:r w:rsidR="00201734">
        <w:t>en la valorac</w:t>
      </w:r>
      <w:r>
        <w:t>ión del ICI, mientras que entidades federativas con mayor grado de penetración digital, como Estado de México, Jalisco, Oaxaca y Guerrero</w:t>
      </w:r>
      <w:r w:rsidR="00201734">
        <w:t xml:space="preserve">, presentan un ICI mucho menor. </w:t>
      </w:r>
      <w:r>
        <w:t xml:space="preserve"> </w:t>
      </w:r>
      <w:r w:rsidR="00573FA5">
        <w:t>Así</w:t>
      </w:r>
      <w:r w:rsidR="00201734">
        <w:t>,</w:t>
      </w:r>
      <w:r w:rsidR="00573FA5">
        <w:t xml:space="preserve"> podemos concluir que </w:t>
      </w:r>
      <w:r w:rsidR="00573FA5" w:rsidRPr="00573FA5">
        <w:rPr>
          <w:b/>
        </w:rPr>
        <w:t>la variable de</w:t>
      </w:r>
      <w:r w:rsidR="006E3D6C" w:rsidRPr="00573FA5">
        <w:rPr>
          <w:b/>
        </w:rPr>
        <w:t xml:space="preserve"> penetración digital </w:t>
      </w:r>
      <w:r w:rsidR="006E3D6C" w:rsidRPr="00573FA5">
        <w:rPr>
          <w:b/>
        </w:rPr>
        <w:lastRenderedPageBreak/>
        <w:t xml:space="preserve">de la entidad federativa no constituye una variable que </w:t>
      </w:r>
      <w:r w:rsidR="00201734">
        <w:rPr>
          <w:b/>
        </w:rPr>
        <w:t xml:space="preserve">necesariamente </w:t>
      </w:r>
      <w:r w:rsidR="006E3D6C" w:rsidRPr="00573FA5">
        <w:rPr>
          <w:b/>
        </w:rPr>
        <w:t>det</w:t>
      </w:r>
      <w:r w:rsidR="002715A9" w:rsidRPr="00573FA5">
        <w:rPr>
          <w:b/>
        </w:rPr>
        <w:t xml:space="preserve">ermine un bajo nivel y calidad en </w:t>
      </w:r>
      <w:r w:rsidR="006E3D6C" w:rsidRPr="00573FA5">
        <w:rPr>
          <w:b/>
        </w:rPr>
        <w:t>e</w:t>
      </w:r>
      <w:r w:rsidR="002715A9" w:rsidRPr="00573FA5">
        <w:rPr>
          <w:b/>
        </w:rPr>
        <w:t>l</w:t>
      </w:r>
      <w:r w:rsidR="00573FA5" w:rsidRPr="00573FA5">
        <w:rPr>
          <w:b/>
        </w:rPr>
        <w:t xml:space="preserve"> reporte</w:t>
      </w:r>
      <w:r w:rsidR="00573FA5">
        <w:t>.</w:t>
      </w:r>
      <w:r w:rsidR="006E3D6C">
        <w:t xml:space="preserve"> </w:t>
      </w:r>
    </w:p>
    <w:p w14:paraId="362F6BC2" w14:textId="77777777" w:rsidR="00D0381D" w:rsidRDefault="00573FA5" w:rsidP="003F35A3">
      <w:pPr>
        <w:spacing w:after="0"/>
        <w:ind w:firstLine="708"/>
      </w:pPr>
      <w:r>
        <w:t>Por otro lado</w:t>
      </w:r>
      <w:r w:rsidR="00F6383F">
        <w:t xml:space="preserve">, </w:t>
      </w:r>
      <w:r w:rsidR="00836215">
        <w:t>destaca que</w:t>
      </w:r>
      <w:r w:rsidR="00027169">
        <w:t xml:space="preserve"> el 76% de los encuestados en las 32 entidades federativas </w:t>
      </w:r>
      <w:r w:rsidR="002F416D">
        <w:t>manifiesta no encontrar ningún problema al conectarse</w:t>
      </w:r>
      <w:r>
        <w:t xml:space="preserve"> a Internet;</w:t>
      </w:r>
      <w:r w:rsidR="002F416D">
        <w:t xml:space="preserve"> </w:t>
      </w:r>
      <w:r w:rsidR="002B6EF7">
        <w:t xml:space="preserve">sin embargo, </w:t>
      </w:r>
      <w:r>
        <w:t>manifiestan</w:t>
      </w:r>
      <w:r w:rsidR="00B14512">
        <w:t xml:space="preserve"> </w:t>
      </w:r>
      <w:r w:rsidR="002F416D">
        <w:t xml:space="preserve">que </w:t>
      </w:r>
      <w:r w:rsidR="00B14512">
        <w:t>uno de los</w:t>
      </w:r>
      <w:r w:rsidR="002F416D">
        <w:t xml:space="preserve"> problema</w:t>
      </w:r>
      <w:r w:rsidR="00B14512">
        <w:t>s principales es la</w:t>
      </w:r>
      <w:r w:rsidR="002F416D">
        <w:t xml:space="preserve"> </w:t>
      </w:r>
      <w:r w:rsidR="002F416D" w:rsidRPr="00573FA5">
        <w:rPr>
          <w:b/>
        </w:rPr>
        <w:t>lentitud en la transferencia de información</w:t>
      </w:r>
      <w:r w:rsidR="002F416D">
        <w:t>.</w:t>
      </w:r>
      <w:r w:rsidR="00836215">
        <w:t xml:space="preserve"> No obstan</w:t>
      </w:r>
      <w:r>
        <w:t>te, el gráfico 5 nos muestra que la</w:t>
      </w:r>
      <w:r w:rsidR="00836215">
        <w:t xml:space="preserve"> calidad de la información</w:t>
      </w:r>
      <w:r>
        <w:t xml:space="preserve"> reportada </w:t>
      </w:r>
      <w:r w:rsidR="00836215">
        <w:t xml:space="preserve">tampoco </w:t>
      </w:r>
      <w:r>
        <w:t>presenta</w:t>
      </w:r>
      <w:r w:rsidR="00836215">
        <w:t xml:space="preserve"> relación con la variable de lentitud de conexión.</w:t>
      </w:r>
    </w:p>
    <w:p w14:paraId="5445BB6E" w14:textId="77777777" w:rsidR="00F6383F" w:rsidRDefault="00F6383F" w:rsidP="002D530B">
      <w:pPr>
        <w:spacing w:after="0" w:line="240" w:lineRule="auto"/>
        <w:ind w:firstLine="708"/>
      </w:pPr>
    </w:p>
    <w:p w14:paraId="12344F85" w14:textId="77777777" w:rsidR="00201734" w:rsidRDefault="00D0381D" w:rsidP="0020173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Gráfico 5. Porcentaje de Lentitud en conexión</w:t>
      </w:r>
      <w:r w:rsidR="00D025B5" w:rsidRPr="00D025B5">
        <w:rPr>
          <w:rFonts w:eastAsia="Times New Roman" w:cs="Times New Roman"/>
          <w:b/>
          <w:bCs/>
          <w:color w:val="000000"/>
          <w:sz w:val="20"/>
          <w:szCs w:val="20"/>
        </w:rPr>
        <w:t xml:space="preserve"> </w:t>
      </w:r>
      <w:r w:rsidR="00D025B5">
        <w:rPr>
          <w:rFonts w:eastAsia="Times New Roman" w:cs="Times New Roman"/>
          <w:b/>
          <w:bCs/>
          <w:color w:val="000000"/>
          <w:sz w:val="20"/>
          <w:szCs w:val="20"/>
        </w:rPr>
        <w:t xml:space="preserve">por entidad federativa, </w:t>
      </w:r>
    </w:p>
    <w:p w14:paraId="7BDB4BA6" w14:textId="77777777" w:rsidR="007B4102" w:rsidRDefault="00D025B5" w:rsidP="0020173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según su </w:t>
      </w:r>
      <w:r w:rsidR="00C16225">
        <w:rPr>
          <w:rFonts w:eastAsia="Times New Roman" w:cs="Times New Roman"/>
          <w:b/>
          <w:bCs/>
          <w:color w:val="000000"/>
          <w:sz w:val="20"/>
          <w:szCs w:val="20"/>
        </w:rPr>
        <w:t xml:space="preserve">clasificación </w:t>
      </w:r>
      <w:r>
        <w:rPr>
          <w:rFonts w:eastAsia="Times New Roman" w:cs="Times New Roman"/>
          <w:b/>
          <w:bCs/>
          <w:color w:val="000000"/>
          <w:sz w:val="20"/>
          <w:szCs w:val="20"/>
        </w:rPr>
        <w:t>en el ICI</w:t>
      </w:r>
    </w:p>
    <w:p w14:paraId="2F8A889A" w14:textId="5EE52C6E" w:rsidR="00D0381D" w:rsidRPr="00E81B85" w:rsidRDefault="00CD7871" w:rsidP="00E81B85">
      <w:pPr>
        <w:spacing w:after="0" w:line="240" w:lineRule="auto"/>
        <w:jc w:val="center"/>
        <w:rPr>
          <w:rFonts w:eastAsia="Times New Roman" w:cs="Times New Roman"/>
          <w:b/>
          <w:bCs/>
          <w:color w:val="000000"/>
          <w:sz w:val="20"/>
          <w:szCs w:val="20"/>
        </w:rPr>
      </w:pPr>
      <w:r>
        <w:rPr>
          <w:noProof/>
        </w:rPr>
        <w:drawing>
          <wp:inline distT="0" distB="0" distL="0" distR="0" wp14:anchorId="55EEC39A" wp14:editId="0052A0EB">
            <wp:extent cx="5612130" cy="5057775"/>
            <wp:effectExtent l="0" t="0" r="762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A742D3" w14:textId="77777777" w:rsidR="00D0381D" w:rsidRPr="00E81B85" w:rsidRDefault="00D0381D" w:rsidP="00E81B85">
      <w:pPr>
        <w:spacing w:after="0" w:line="240" w:lineRule="auto"/>
        <w:jc w:val="left"/>
        <w:rPr>
          <w:sz w:val="18"/>
        </w:rPr>
      </w:pPr>
      <w:r w:rsidRPr="00E81B85">
        <w:rPr>
          <w:sz w:val="18"/>
        </w:rPr>
        <w:t>Fuente: Unidad de Evaluación del Desempeño, SHCP; elaborado con datos de Módulo sobre Disponibilidad y Uso de Tecnologías de la Información en los Hogares 2014, INEGI.</w:t>
      </w:r>
    </w:p>
    <w:p w14:paraId="5BBB9269" w14:textId="77777777" w:rsidR="001471BB" w:rsidRDefault="001471BB" w:rsidP="001471BB">
      <w:pPr>
        <w:spacing w:after="0"/>
        <w:jc w:val="center"/>
      </w:pPr>
    </w:p>
    <w:p w14:paraId="45ECA66D" w14:textId="77777777" w:rsidR="008801AE" w:rsidRDefault="008801AE" w:rsidP="007E61BF">
      <w:pPr>
        <w:pStyle w:val="Ttulo3"/>
      </w:pPr>
      <w:bookmarkStart w:id="9" w:name="_Toc447904081"/>
      <w:r>
        <w:lastRenderedPageBreak/>
        <w:t>Efectos de</w:t>
      </w:r>
      <w:r w:rsidR="000D5A27" w:rsidRPr="00AB3BFF">
        <w:t xml:space="preserve"> </w:t>
      </w:r>
      <w:r w:rsidR="00C13CEF">
        <w:t>las transiciones electorales</w:t>
      </w:r>
      <w:bookmarkEnd w:id="9"/>
      <w:r w:rsidR="00C13CEF">
        <w:t xml:space="preserve"> </w:t>
      </w:r>
    </w:p>
    <w:p w14:paraId="22B98D19" w14:textId="1F08928B" w:rsidR="009D26D2" w:rsidRDefault="0020386D" w:rsidP="00E623BC">
      <w:pPr>
        <w:rPr>
          <w:rFonts w:eastAsia="Times New Roman" w:cs="Times New Roman"/>
          <w:vertAlign w:val="superscript"/>
        </w:rPr>
      </w:pPr>
      <w:r w:rsidRPr="00932075">
        <w:rPr>
          <w:rFonts w:eastAsia="Times New Roman" w:cs="Times New Roman"/>
        </w:rPr>
        <w:t>La rotación de personal</w:t>
      </w:r>
      <w:r w:rsidR="00C13CEF">
        <w:rPr>
          <w:rFonts w:eastAsia="Times New Roman" w:cs="Times New Roman"/>
        </w:rPr>
        <w:t xml:space="preserve"> asociada a las transiciones electorales</w:t>
      </w:r>
      <w:r w:rsidRPr="00932075">
        <w:rPr>
          <w:rFonts w:eastAsia="Times New Roman" w:cs="Times New Roman"/>
        </w:rPr>
        <w:t xml:space="preserve">, principalmente </w:t>
      </w:r>
      <w:r w:rsidR="009D26D2">
        <w:rPr>
          <w:rFonts w:eastAsia="Times New Roman" w:cs="Times New Roman"/>
        </w:rPr>
        <w:t xml:space="preserve">a nivel municipal, </w:t>
      </w:r>
      <w:r w:rsidR="00B968E3">
        <w:rPr>
          <w:rFonts w:eastAsia="Times New Roman" w:cs="Times New Roman"/>
        </w:rPr>
        <w:t>se presenta como una constante preocupación de los gobiernos locales y posible sustento</w:t>
      </w:r>
      <w:r w:rsidR="009D26D2">
        <w:rPr>
          <w:rFonts w:eastAsia="Times New Roman" w:cs="Times New Roman"/>
        </w:rPr>
        <w:t xml:space="preserve"> para la necesidad de capacitación de los servidores públicos que reportan la información en el SFU, y más aún, </w:t>
      </w:r>
      <w:r w:rsidR="00267988">
        <w:rPr>
          <w:rFonts w:eastAsia="Times New Roman" w:cs="Times New Roman"/>
        </w:rPr>
        <w:t xml:space="preserve">como posible elemento en </w:t>
      </w:r>
      <w:r w:rsidR="009D26D2">
        <w:rPr>
          <w:rFonts w:eastAsia="Times New Roman" w:cs="Times New Roman"/>
        </w:rPr>
        <w:t>la disminución de la calidad de la información</w:t>
      </w:r>
      <w:r w:rsidR="00573FA5">
        <w:rPr>
          <w:rFonts w:eastAsia="Times New Roman" w:cs="Times New Roman"/>
        </w:rPr>
        <w:t>. En este sentido</w:t>
      </w:r>
      <w:r w:rsidR="00267988">
        <w:rPr>
          <w:rFonts w:eastAsia="Times New Roman" w:cs="Times New Roman"/>
        </w:rPr>
        <w:t>,</w:t>
      </w:r>
      <w:r w:rsidR="00573FA5">
        <w:rPr>
          <w:rFonts w:eastAsia="Times New Roman" w:cs="Times New Roman"/>
        </w:rPr>
        <w:t xml:space="preserve"> </w:t>
      </w:r>
      <w:r w:rsidR="00B968E3">
        <w:rPr>
          <w:rFonts w:eastAsia="Times New Roman" w:cs="Times New Roman"/>
        </w:rPr>
        <w:t xml:space="preserve">a continuación se </w:t>
      </w:r>
      <w:r w:rsidR="00573FA5">
        <w:rPr>
          <w:rFonts w:eastAsia="Times New Roman" w:cs="Times New Roman"/>
        </w:rPr>
        <w:t>analizan las transiciones electorales ocurridas en 2015 y su efecto en la cantidad y calidad de la información reportada respecto del ejercicio, destino y resultado de los recursos federales transferidos.</w:t>
      </w:r>
    </w:p>
    <w:p w14:paraId="4366C855" w14:textId="26EAA3F5" w:rsidR="009D26D2" w:rsidRDefault="0020386D" w:rsidP="0053207F">
      <w:pPr>
        <w:ind w:firstLine="709"/>
        <w:rPr>
          <w:rFonts w:eastAsia="Times New Roman" w:cs="Times New Roman"/>
        </w:rPr>
      </w:pPr>
      <w:r w:rsidRPr="00932075">
        <w:rPr>
          <w:rFonts w:eastAsia="Times New Roman" w:cs="Times New Roman"/>
        </w:rPr>
        <w:t xml:space="preserve"> En 2015 se llevaron a cabo elecciones en 17 entidades federativas</w:t>
      </w:r>
      <w:r w:rsidR="009D26D2">
        <w:rPr>
          <w:rFonts w:eastAsia="Times New Roman" w:cs="Times New Roman"/>
        </w:rPr>
        <w:t xml:space="preserve"> (</w:t>
      </w:r>
      <w:r w:rsidR="009D26D2" w:rsidRPr="00932075">
        <w:rPr>
          <w:rFonts w:eastAsia="Times New Roman" w:cs="Times New Roman"/>
        </w:rPr>
        <w:t>Baja California Sur, Campeche, Chiapas, Ciudad de México, Colima, Guanajuato, Guerrero, Jalisco, México, Michoacán, Morelos, Nuevo León, Querétaro, San Luis Po</w:t>
      </w:r>
      <w:r w:rsidR="009D26D2">
        <w:rPr>
          <w:rFonts w:eastAsia="Times New Roman" w:cs="Times New Roman"/>
        </w:rPr>
        <w:t>tosí, Sonora, Tabasco y Yucatán)</w:t>
      </w:r>
      <w:r w:rsidRPr="00932075">
        <w:rPr>
          <w:rFonts w:eastAsia="Times New Roman" w:cs="Times New Roman"/>
        </w:rPr>
        <w:t xml:space="preserve">, con las que se renovaron las administraciones de 1,005 organismos municipales, 41% del total de municipios </w:t>
      </w:r>
      <w:r w:rsidR="009D26D2">
        <w:rPr>
          <w:rFonts w:eastAsia="Times New Roman" w:cs="Times New Roman"/>
        </w:rPr>
        <w:t>del país.</w:t>
      </w:r>
    </w:p>
    <w:p w14:paraId="10FA928C" w14:textId="14169D4B" w:rsidR="00B86A00" w:rsidRDefault="0032186C" w:rsidP="00CD7871">
      <w:pPr>
        <w:ind w:firstLine="709"/>
        <w:rPr>
          <w:rFonts w:eastAsia="Times New Roman" w:cs="Times New Roman"/>
        </w:rPr>
      </w:pPr>
      <w:r>
        <w:rPr>
          <w:rFonts w:eastAsia="Times New Roman" w:cs="Times New Roman"/>
        </w:rPr>
        <w:t>Sin embargo</w:t>
      </w:r>
      <w:r w:rsidR="009D26D2">
        <w:rPr>
          <w:rFonts w:eastAsia="Times New Roman" w:cs="Times New Roman"/>
        </w:rPr>
        <w:t>, al comparar históricamente los nivele</w:t>
      </w:r>
      <w:r w:rsidR="00BA5E21">
        <w:rPr>
          <w:rFonts w:eastAsia="Times New Roman" w:cs="Times New Roman"/>
        </w:rPr>
        <w:t>s de reporte de los estados cuyos municipios tuvieron toma de protesta</w:t>
      </w:r>
      <w:r w:rsidR="009D26D2">
        <w:rPr>
          <w:rFonts w:eastAsia="Times New Roman" w:cs="Times New Roman"/>
        </w:rPr>
        <w:t xml:space="preserve"> en septiembre, es decir, cuya nueva administración </w:t>
      </w:r>
      <w:r>
        <w:rPr>
          <w:rFonts w:eastAsia="Times New Roman" w:cs="Times New Roman"/>
        </w:rPr>
        <w:t>realizó su primer</w:t>
      </w:r>
      <w:r w:rsidR="00ED4876">
        <w:rPr>
          <w:rFonts w:eastAsia="Times New Roman" w:cs="Times New Roman"/>
        </w:rPr>
        <w:t xml:space="preserve"> reporte en octubre, durante el periodo de captura correspondiente al tercer trimestre de 2015</w:t>
      </w:r>
      <w:r w:rsidR="0072296E">
        <w:rPr>
          <w:rStyle w:val="Refdenotaalpie"/>
          <w:rFonts w:eastAsia="Times New Roman" w:cs="Times New Roman"/>
        </w:rPr>
        <w:footnoteReference w:id="8"/>
      </w:r>
      <w:r w:rsidR="00ED4876">
        <w:rPr>
          <w:rFonts w:eastAsia="Times New Roman" w:cs="Times New Roman"/>
        </w:rPr>
        <w:t xml:space="preserve">, se puede apreciar que </w:t>
      </w:r>
      <w:r w:rsidR="00ED4876" w:rsidRPr="0032186C">
        <w:rPr>
          <w:rFonts w:eastAsia="Times New Roman" w:cs="Times New Roman"/>
          <w:b/>
        </w:rPr>
        <w:t xml:space="preserve">no existen tendencias </w:t>
      </w:r>
      <w:r w:rsidR="002C0A9C" w:rsidRPr="0032186C">
        <w:rPr>
          <w:rFonts w:eastAsia="Times New Roman" w:cs="Times New Roman"/>
          <w:b/>
        </w:rPr>
        <w:t>que evidencien una disminución de reporte asociada a las tomas de protesta de los presidentes municipales electos</w:t>
      </w:r>
      <w:r w:rsidR="00BA5E21">
        <w:rPr>
          <w:rStyle w:val="Refdenotaalpie"/>
          <w:rFonts w:eastAsia="Times New Roman" w:cs="Times New Roman"/>
        </w:rPr>
        <w:footnoteReference w:id="9"/>
      </w:r>
      <w:r w:rsidR="00ED4876">
        <w:rPr>
          <w:rFonts w:eastAsia="Times New Roman" w:cs="Times New Roman"/>
        </w:rPr>
        <w:t xml:space="preserve">. Si bien algunos estados disminuyeron su reporte, continuaron su tendencia a la baja incluso en su segundo trimestre de captura; </w:t>
      </w:r>
      <w:r w:rsidR="008D175E">
        <w:rPr>
          <w:rFonts w:eastAsia="Times New Roman" w:cs="Times New Roman"/>
        </w:rPr>
        <w:t xml:space="preserve">por otro lado </w:t>
      </w:r>
      <w:r w:rsidR="00ED4876">
        <w:rPr>
          <w:rFonts w:eastAsia="Times New Roman" w:cs="Times New Roman"/>
        </w:rPr>
        <w:t>otros estados</w:t>
      </w:r>
      <w:r>
        <w:rPr>
          <w:rFonts w:eastAsia="Times New Roman" w:cs="Times New Roman"/>
        </w:rPr>
        <w:t>,</w:t>
      </w:r>
      <w:r w:rsidR="00ED4876">
        <w:rPr>
          <w:rFonts w:eastAsia="Times New Roman" w:cs="Times New Roman"/>
        </w:rPr>
        <w:t xml:space="preserve"> como Baja California Sur </w:t>
      </w:r>
      <w:r w:rsidR="0015160E">
        <w:rPr>
          <w:rFonts w:eastAsia="Times New Roman" w:cs="Times New Roman"/>
        </w:rPr>
        <w:t xml:space="preserve">y Campeche </w:t>
      </w:r>
      <w:r w:rsidR="00ED4876">
        <w:rPr>
          <w:rFonts w:eastAsia="Times New Roman" w:cs="Times New Roman"/>
        </w:rPr>
        <w:t>no presentan efecto alguno.</w:t>
      </w:r>
      <w:r w:rsidR="00835431">
        <w:rPr>
          <w:rFonts w:eastAsia="Times New Roman" w:cs="Times New Roman"/>
        </w:rPr>
        <w:t xml:space="preserve"> Asimismo, los estados cuyo número de municipios </w:t>
      </w:r>
      <w:r w:rsidR="00596263">
        <w:rPr>
          <w:rFonts w:eastAsia="Times New Roman" w:cs="Times New Roman"/>
        </w:rPr>
        <w:t>que reportaron el</w:t>
      </w:r>
      <w:r w:rsidR="00835431">
        <w:rPr>
          <w:rFonts w:eastAsia="Times New Roman" w:cs="Times New Roman"/>
        </w:rPr>
        <w:t xml:space="preserve"> avance en Gestión de Proyectos</w:t>
      </w:r>
      <w:r w:rsidR="00596263">
        <w:rPr>
          <w:rFonts w:eastAsia="Times New Roman" w:cs="Times New Roman"/>
        </w:rPr>
        <w:t xml:space="preserve"> disminuyó</w:t>
      </w:r>
      <w:r w:rsidR="00555293">
        <w:rPr>
          <w:rFonts w:eastAsia="Times New Roman" w:cs="Times New Roman"/>
        </w:rPr>
        <w:t xml:space="preserve"> en el tercer trimestre, para el cuarto trimestre </w:t>
      </w:r>
      <w:r w:rsidR="007B1250">
        <w:rPr>
          <w:rFonts w:eastAsia="Times New Roman" w:cs="Times New Roman"/>
        </w:rPr>
        <w:t>aumentó</w:t>
      </w:r>
      <w:r w:rsidR="0015160E">
        <w:rPr>
          <w:rFonts w:eastAsia="Times New Roman" w:cs="Times New Roman"/>
        </w:rPr>
        <w:t xml:space="preserve"> como es el caso de Guerrero</w:t>
      </w:r>
      <w:r w:rsidR="007B1250">
        <w:rPr>
          <w:rFonts w:eastAsia="Times New Roman" w:cs="Times New Roman"/>
        </w:rPr>
        <w:t>, lo</w:t>
      </w:r>
      <w:r w:rsidR="00555293">
        <w:rPr>
          <w:rFonts w:eastAsia="Times New Roman" w:cs="Times New Roman"/>
        </w:rPr>
        <w:t xml:space="preserve"> que </w:t>
      </w:r>
      <w:r w:rsidR="00267988">
        <w:rPr>
          <w:rFonts w:eastAsia="Times New Roman" w:cs="Times New Roman"/>
        </w:rPr>
        <w:t xml:space="preserve">permite inferir </w:t>
      </w:r>
      <w:r w:rsidR="00555293">
        <w:rPr>
          <w:rFonts w:eastAsia="Times New Roman" w:cs="Times New Roman"/>
        </w:rPr>
        <w:t>que la rotación de personal a consecuencia de los camb</w:t>
      </w:r>
      <w:r w:rsidR="00057628">
        <w:rPr>
          <w:rFonts w:eastAsia="Times New Roman" w:cs="Times New Roman"/>
        </w:rPr>
        <w:t>ios de a</w:t>
      </w:r>
      <w:r w:rsidR="00596263">
        <w:rPr>
          <w:rFonts w:eastAsia="Times New Roman" w:cs="Times New Roman"/>
        </w:rPr>
        <w:t>dministración,</w:t>
      </w:r>
      <w:r w:rsidR="00057628">
        <w:rPr>
          <w:rFonts w:eastAsia="Times New Roman" w:cs="Times New Roman"/>
        </w:rPr>
        <w:t xml:space="preserve"> no</w:t>
      </w:r>
      <w:r w:rsidR="00267988">
        <w:rPr>
          <w:rFonts w:eastAsia="Times New Roman" w:cs="Times New Roman"/>
        </w:rPr>
        <w:t xml:space="preserve"> </w:t>
      </w:r>
      <w:r w:rsidR="00267988">
        <w:rPr>
          <w:rFonts w:eastAsia="Times New Roman" w:cs="Times New Roman"/>
        </w:rPr>
        <w:lastRenderedPageBreak/>
        <w:t>necesariamente</w:t>
      </w:r>
      <w:r w:rsidR="00057628">
        <w:rPr>
          <w:rFonts w:eastAsia="Times New Roman" w:cs="Times New Roman"/>
        </w:rPr>
        <w:t xml:space="preserve"> tiene una influencia significativa</w:t>
      </w:r>
      <w:r w:rsidR="00C30701">
        <w:rPr>
          <w:rFonts w:eastAsia="Times New Roman" w:cs="Times New Roman"/>
        </w:rPr>
        <w:t xml:space="preserve"> que </w:t>
      </w:r>
      <w:r w:rsidR="00057628">
        <w:rPr>
          <w:rFonts w:eastAsia="Times New Roman" w:cs="Times New Roman"/>
        </w:rPr>
        <w:t>sobre el reporte del ejercicio, destino y resultados de los recursos federales transferidos</w:t>
      </w:r>
      <w:r w:rsidR="00510A7F">
        <w:rPr>
          <w:rFonts w:eastAsia="Times New Roman" w:cs="Times New Roman"/>
        </w:rPr>
        <w:t xml:space="preserve"> a las entidades federativas y municipios</w:t>
      </w:r>
      <w:r w:rsidR="00057628">
        <w:rPr>
          <w:rFonts w:eastAsia="Times New Roman" w:cs="Times New Roman"/>
        </w:rPr>
        <w:t>.</w:t>
      </w:r>
    </w:p>
    <w:p w14:paraId="4269A92A" w14:textId="77777777" w:rsidR="0020386D" w:rsidRDefault="00D0381D" w:rsidP="0020386D">
      <w:pPr>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Gráfico 6</w:t>
      </w:r>
      <w:r w:rsidR="0020386D" w:rsidRPr="00932075">
        <w:rPr>
          <w:rFonts w:eastAsia="Times New Roman" w:cs="Times New Roman"/>
          <w:b/>
          <w:bCs/>
          <w:color w:val="000000"/>
          <w:sz w:val="20"/>
          <w:szCs w:val="20"/>
        </w:rPr>
        <w:t xml:space="preserve">: Número de municipios </w:t>
      </w:r>
      <w:r w:rsidR="00681D90">
        <w:rPr>
          <w:rFonts w:eastAsia="Times New Roman" w:cs="Times New Roman"/>
          <w:b/>
          <w:bCs/>
          <w:color w:val="000000"/>
          <w:sz w:val="20"/>
          <w:szCs w:val="20"/>
        </w:rPr>
        <w:t xml:space="preserve">en </w:t>
      </w:r>
      <w:r w:rsidR="0020386D" w:rsidRPr="00932075">
        <w:rPr>
          <w:rFonts w:eastAsia="Times New Roman" w:cs="Times New Roman"/>
          <w:b/>
          <w:bCs/>
          <w:color w:val="000000"/>
          <w:sz w:val="20"/>
          <w:szCs w:val="20"/>
        </w:rPr>
        <w:t>que</w:t>
      </w:r>
      <w:r w:rsidR="00DD3D85">
        <w:rPr>
          <w:rFonts w:eastAsia="Times New Roman" w:cs="Times New Roman"/>
          <w:b/>
          <w:bCs/>
          <w:color w:val="000000"/>
          <w:sz w:val="20"/>
          <w:szCs w:val="20"/>
        </w:rPr>
        <w:t xml:space="preserve"> se</w:t>
      </w:r>
      <w:r w:rsidR="0020386D" w:rsidRPr="00932075">
        <w:rPr>
          <w:rFonts w:eastAsia="Times New Roman" w:cs="Times New Roman"/>
          <w:b/>
          <w:bCs/>
          <w:color w:val="000000"/>
          <w:sz w:val="20"/>
          <w:szCs w:val="20"/>
        </w:rPr>
        <w:t xml:space="preserve"> reportaron</w:t>
      </w:r>
      <w:r w:rsidR="00681D90">
        <w:rPr>
          <w:rFonts w:eastAsia="Times New Roman" w:cs="Times New Roman"/>
          <w:b/>
          <w:bCs/>
          <w:color w:val="000000"/>
          <w:sz w:val="20"/>
          <w:szCs w:val="20"/>
        </w:rPr>
        <w:t xml:space="preserve"> avances en </w:t>
      </w:r>
      <w:r w:rsidR="00596263">
        <w:rPr>
          <w:rFonts w:eastAsia="Times New Roman" w:cs="Times New Roman"/>
          <w:b/>
          <w:bCs/>
          <w:color w:val="000000"/>
          <w:sz w:val="20"/>
          <w:szCs w:val="20"/>
        </w:rPr>
        <w:t xml:space="preserve">el módulo de </w:t>
      </w:r>
      <w:r w:rsidR="00681D90">
        <w:rPr>
          <w:rFonts w:eastAsia="Times New Roman" w:cs="Times New Roman"/>
          <w:b/>
          <w:bCs/>
          <w:color w:val="000000"/>
          <w:sz w:val="20"/>
          <w:szCs w:val="20"/>
        </w:rPr>
        <w:t>Gestión de Proyectos</w:t>
      </w:r>
      <w:r w:rsidR="0020386D" w:rsidRPr="00932075">
        <w:rPr>
          <w:rFonts w:eastAsia="Times New Roman" w:cs="Times New Roman"/>
          <w:b/>
          <w:bCs/>
          <w:color w:val="000000"/>
          <w:sz w:val="20"/>
          <w:szCs w:val="20"/>
        </w:rPr>
        <w:t xml:space="preserve"> en estados con cambios de </w:t>
      </w:r>
      <w:r w:rsidR="00596263">
        <w:rPr>
          <w:rFonts w:eastAsia="Times New Roman" w:cs="Times New Roman"/>
          <w:b/>
          <w:bCs/>
          <w:color w:val="000000"/>
          <w:sz w:val="20"/>
          <w:szCs w:val="20"/>
        </w:rPr>
        <w:t>administración</w:t>
      </w:r>
      <w:r w:rsidR="007B1250">
        <w:rPr>
          <w:rFonts w:eastAsia="Times New Roman" w:cs="Times New Roman"/>
          <w:b/>
          <w:bCs/>
          <w:color w:val="000000"/>
          <w:sz w:val="20"/>
          <w:szCs w:val="20"/>
        </w:rPr>
        <w:t xml:space="preserve"> municipal </w:t>
      </w:r>
      <w:r w:rsidR="0020386D" w:rsidRPr="00932075">
        <w:rPr>
          <w:rFonts w:eastAsia="Times New Roman" w:cs="Times New Roman"/>
          <w:b/>
          <w:bCs/>
          <w:color w:val="000000"/>
          <w:sz w:val="20"/>
          <w:szCs w:val="20"/>
        </w:rPr>
        <w:t>en septiembre de 2015</w:t>
      </w:r>
    </w:p>
    <w:p w14:paraId="6A8B9B41" w14:textId="77777777" w:rsidR="0015160E" w:rsidRDefault="0015160E" w:rsidP="0020386D">
      <w:pPr>
        <w:spacing w:after="0" w:line="276" w:lineRule="auto"/>
        <w:jc w:val="center"/>
        <w:rPr>
          <w:rFonts w:eastAsia="Times New Roman" w:cs="Times New Roman"/>
          <w:b/>
          <w:bCs/>
          <w:color w:val="000000"/>
          <w:sz w:val="20"/>
          <w:szCs w:val="20"/>
        </w:rPr>
      </w:pPr>
    </w:p>
    <w:p w14:paraId="08CFF524" w14:textId="77777777" w:rsidR="0020386D" w:rsidRPr="00B93C5E" w:rsidRDefault="0015160E" w:rsidP="0015160E">
      <w:pPr>
        <w:spacing w:after="0" w:line="276" w:lineRule="auto"/>
        <w:jc w:val="center"/>
        <w:rPr>
          <w:rFonts w:eastAsia="Times New Roman" w:cs="Times New Roman"/>
          <w:b/>
          <w:bCs/>
          <w:color w:val="000000"/>
          <w:sz w:val="20"/>
          <w:szCs w:val="20"/>
        </w:rPr>
      </w:pPr>
      <w:r>
        <w:rPr>
          <w:noProof/>
        </w:rPr>
        <w:drawing>
          <wp:inline distT="0" distB="0" distL="0" distR="0" wp14:anchorId="4A2DC095" wp14:editId="5841EF51">
            <wp:extent cx="5612130" cy="4078605"/>
            <wp:effectExtent l="0" t="0" r="7620" b="1714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FC2877" w14:textId="77777777" w:rsidR="0032186C" w:rsidRPr="00E81B85" w:rsidRDefault="0020386D" w:rsidP="00E81B85">
      <w:pPr>
        <w:spacing w:line="240" w:lineRule="atLeast"/>
        <w:jc w:val="left"/>
        <w:rPr>
          <w:sz w:val="18"/>
        </w:rPr>
      </w:pPr>
      <w:r w:rsidRPr="00E81B85">
        <w:rPr>
          <w:sz w:val="18"/>
        </w:rPr>
        <w:t>Fuente: Unidad de Evaluación del Desempeño, SHCP; con datos del Sistema de Formato Único y de los Institutos Electorales Estatales.</w:t>
      </w:r>
    </w:p>
    <w:p w14:paraId="60A93485" w14:textId="77777777" w:rsidR="0020386D" w:rsidRDefault="0020386D" w:rsidP="00B86A00">
      <w:pPr>
        <w:ind w:firstLine="709"/>
        <w:rPr>
          <w:rFonts w:eastAsia="Times New Roman" w:cs="Times New Roman"/>
        </w:rPr>
      </w:pPr>
      <w:r w:rsidRPr="00932075">
        <w:rPr>
          <w:rFonts w:eastAsia="Times New Roman" w:cs="Times New Roman"/>
        </w:rPr>
        <w:t>Por otro lado, en nueve entidades federativas</w:t>
      </w:r>
      <w:r w:rsidR="002C0A9C">
        <w:rPr>
          <w:rFonts w:eastAsia="Times New Roman" w:cs="Times New Roman"/>
        </w:rPr>
        <w:t xml:space="preserve"> (</w:t>
      </w:r>
      <w:r w:rsidR="002C0A9C" w:rsidRPr="00932075">
        <w:rPr>
          <w:rFonts w:eastAsia="Times New Roman" w:cs="Times New Roman"/>
        </w:rPr>
        <w:t>Campeche, Chiapas, Colima, Ciudad de México, Guanajuato, Jalisco, Nuevo León, Querétaro y San Luis</w:t>
      </w:r>
      <w:r w:rsidR="002C0A9C">
        <w:rPr>
          <w:rFonts w:eastAsia="Times New Roman" w:cs="Times New Roman"/>
        </w:rPr>
        <w:t xml:space="preserve"> Potosí)</w:t>
      </w:r>
      <w:r w:rsidRPr="00932075">
        <w:rPr>
          <w:rFonts w:eastAsia="Times New Roman" w:cs="Times New Roman"/>
        </w:rPr>
        <w:t xml:space="preserve"> los cambios de administraciones municipales se llevaron a cabo en octubre </w:t>
      </w:r>
      <w:r w:rsidR="00922057">
        <w:rPr>
          <w:rFonts w:eastAsia="Times New Roman" w:cs="Times New Roman"/>
        </w:rPr>
        <w:t xml:space="preserve">y noviembre </w:t>
      </w:r>
      <w:r w:rsidRPr="00932075">
        <w:rPr>
          <w:rFonts w:eastAsia="Times New Roman" w:cs="Times New Roman"/>
        </w:rPr>
        <w:t>de 2015,</w:t>
      </w:r>
      <w:r w:rsidR="00ED4876">
        <w:rPr>
          <w:rFonts w:eastAsia="Times New Roman" w:cs="Times New Roman"/>
        </w:rPr>
        <w:t xml:space="preserve"> por lo que el primer periodo de captura de información de las nuevas administraciones tuvo lugar en enero, y fue el correspondiente al</w:t>
      </w:r>
      <w:r w:rsidR="0032186C">
        <w:rPr>
          <w:rFonts w:eastAsia="Times New Roman" w:cs="Times New Roman"/>
        </w:rPr>
        <w:t xml:space="preserve"> reporte de la información del</w:t>
      </w:r>
      <w:r w:rsidR="00ED4876">
        <w:rPr>
          <w:rFonts w:eastAsia="Times New Roman" w:cs="Times New Roman"/>
        </w:rPr>
        <w:t xml:space="preserve"> cuarto trimestre</w:t>
      </w:r>
      <w:r w:rsidR="002C0A9C">
        <w:rPr>
          <w:rFonts w:eastAsia="Times New Roman" w:cs="Times New Roman"/>
        </w:rPr>
        <w:t xml:space="preserve"> de 2015</w:t>
      </w:r>
      <w:r w:rsidR="00ED4876">
        <w:rPr>
          <w:rFonts w:eastAsia="Times New Roman" w:cs="Times New Roman"/>
        </w:rPr>
        <w:t xml:space="preserve">. De </w:t>
      </w:r>
      <w:r w:rsidR="0032186C">
        <w:rPr>
          <w:rFonts w:eastAsia="Times New Roman" w:cs="Times New Roman"/>
        </w:rPr>
        <w:t>este segundo grupo de transiciones de administración</w:t>
      </w:r>
      <w:r w:rsidR="00ED4876">
        <w:rPr>
          <w:rFonts w:eastAsia="Times New Roman" w:cs="Times New Roman"/>
        </w:rPr>
        <w:t>, destaca</w:t>
      </w:r>
      <w:r w:rsidRPr="00932075">
        <w:rPr>
          <w:rFonts w:eastAsia="Times New Roman" w:cs="Times New Roman"/>
        </w:rPr>
        <w:t xml:space="preserve"> que </w:t>
      </w:r>
      <w:r w:rsidR="0015160E">
        <w:rPr>
          <w:rFonts w:eastAsia="Times New Roman" w:cs="Times New Roman"/>
        </w:rPr>
        <w:t xml:space="preserve">Ciudad de México y Nuevo León </w:t>
      </w:r>
      <w:r w:rsidRPr="00932075">
        <w:rPr>
          <w:rFonts w:eastAsia="Times New Roman" w:cs="Times New Roman"/>
        </w:rPr>
        <w:t>aument</w:t>
      </w:r>
      <w:r w:rsidR="008D175E">
        <w:rPr>
          <w:rFonts w:eastAsia="Times New Roman" w:cs="Times New Roman"/>
        </w:rPr>
        <w:t>aron</w:t>
      </w:r>
      <w:r w:rsidRPr="00932075">
        <w:rPr>
          <w:rFonts w:eastAsia="Times New Roman" w:cs="Times New Roman"/>
        </w:rPr>
        <w:t xml:space="preserve"> el número de </w:t>
      </w:r>
      <w:r w:rsidR="0015160E">
        <w:rPr>
          <w:rFonts w:eastAsia="Times New Roman" w:cs="Times New Roman"/>
        </w:rPr>
        <w:lastRenderedPageBreak/>
        <w:t>demarcaciones territoriales y municipios que reportaron, de igual forma dos</w:t>
      </w:r>
      <w:r w:rsidRPr="00932075">
        <w:rPr>
          <w:rFonts w:eastAsia="Times New Roman" w:cs="Times New Roman"/>
        </w:rPr>
        <w:t xml:space="preserve"> entidades</w:t>
      </w:r>
      <w:r w:rsidR="008D175E">
        <w:rPr>
          <w:rFonts w:eastAsia="Times New Roman" w:cs="Times New Roman"/>
        </w:rPr>
        <w:t xml:space="preserve"> federativas</w:t>
      </w:r>
      <w:r w:rsidRPr="00932075">
        <w:rPr>
          <w:rFonts w:eastAsia="Times New Roman" w:cs="Times New Roman"/>
        </w:rPr>
        <w:t xml:space="preserve"> presentaron un comportamiento constante, pues todos sus municipios reportaron avances en ambos trimestres: Campeche</w:t>
      </w:r>
      <w:r w:rsidR="0015160E">
        <w:rPr>
          <w:rFonts w:eastAsia="Times New Roman" w:cs="Times New Roman"/>
        </w:rPr>
        <w:t xml:space="preserve"> y Querétaro.</w:t>
      </w:r>
      <w:r w:rsidR="00ED4876">
        <w:rPr>
          <w:rFonts w:eastAsia="Times New Roman" w:cs="Times New Roman"/>
        </w:rPr>
        <w:t xml:space="preserve"> </w:t>
      </w:r>
    </w:p>
    <w:p w14:paraId="5650C39B" w14:textId="77777777" w:rsidR="0020386D" w:rsidRPr="00932075" w:rsidRDefault="00D0381D" w:rsidP="00932075">
      <w:pPr>
        <w:spacing w:after="0" w:line="276" w:lineRule="auto"/>
        <w:jc w:val="center"/>
        <w:rPr>
          <w:rFonts w:eastAsia="Times New Roman" w:cs="Times New Roman"/>
          <w:b/>
          <w:bCs/>
          <w:color w:val="000000"/>
          <w:sz w:val="20"/>
          <w:szCs w:val="20"/>
        </w:rPr>
      </w:pPr>
      <w:r>
        <w:rPr>
          <w:rFonts w:eastAsia="Times New Roman" w:cs="Times New Roman"/>
          <w:b/>
          <w:bCs/>
          <w:color w:val="000000"/>
          <w:sz w:val="20"/>
          <w:szCs w:val="20"/>
        </w:rPr>
        <w:t>Gráfico 7</w:t>
      </w:r>
      <w:r w:rsidR="0020386D" w:rsidRPr="00932075">
        <w:rPr>
          <w:rFonts w:eastAsia="Times New Roman" w:cs="Times New Roman"/>
          <w:b/>
          <w:bCs/>
          <w:color w:val="000000"/>
          <w:sz w:val="20"/>
          <w:szCs w:val="20"/>
        </w:rPr>
        <w:t xml:space="preserve">: </w:t>
      </w:r>
      <w:r w:rsidR="00596263" w:rsidRPr="00932075">
        <w:rPr>
          <w:rFonts w:eastAsia="Times New Roman" w:cs="Times New Roman"/>
          <w:b/>
          <w:bCs/>
          <w:color w:val="000000"/>
          <w:sz w:val="20"/>
          <w:szCs w:val="20"/>
        </w:rPr>
        <w:t xml:space="preserve">Número de municipios </w:t>
      </w:r>
      <w:r w:rsidR="00596263">
        <w:rPr>
          <w:rFonts w:eastAsia="Times New Roman" w:cs="Times New Roman"/>
          <w:b/>
          <w:bCs/>
          <w:color w:val="000000"/>
          <w:sz w:val="20"/>
          <w:szCs w:val="20"/>
        </w:rPr>
        <w:t xml:space="preserve">en </w:t>
      </w:r>
      <w:r w:rsidR="00596263" w:rsidRPr="00932075">
        <w:rPr>
          <w:rFonts w:eastAsia="Times New Roman" w:cs="Times New Roman"/>
          <w:b/>
          <w:bCs/>
          <w:color w:val="000000"/>
          <w:sz w:val="20"/>
          <w:szCs w:val="20"/>
        </w:rPr>
        <w:t>que</w:t>
      </w:r>
      <w:r w:rsidR="00596263">
        <w:rPr>
          <w:rFonts w:eastAsia="Times New Roman" w:cs="Times New Roman"/>
          <w:b/>
          <w:bCs/>
          <w:color w:val="000000"/>
          <w:sz w:val="20"/>
          <w:szCs w:val="20"/>
        </w:rPr>
        <w:t xml:space="preserve"> se</w:t>
      </w:r>
      <w:r w:rsidR="00596263" w:rsidRPr="00932075">
        <w:rPr>
          <w:rFonts w:eastAsia="Times New Roman" w:cs="Times New Roman"/>
          <w:b/>
          <w:bCs/>
          <w:color w:val="000000"/>
          <w:sz w:val="20"/>
          <w:szCs w:val="20"/>
        </w:rPr>
        <w:t xml:space="preserve"> reportaron</w:t>
      </w:r>
      <w:r w:rsidR="00596263">
        <w:rPr>
          <w:rFonts w:eastAsia="Times New Roman" w:cs="Times New Roman"/>
          <w:b/>
          <w:bCs/>
          <w:color w:val="000000"/>
          <w:sz w:val="20"/>
          <w:szCs w:val="20"/>
        </w:rPr>
        <w:t xml:space="preserve"> avances en el módulo de Gestión de Proyectos</w:t>
      </w:r>
      <w:r w:rsidR="00596263" w:rsidRPr="00932075">
        <w:rPr>
          <w:rFonts w:eastAsia="Times New Roman" w:cs="Times New Roman"/>
          <w:b/>
          <w:bCs/>
          <w:color w:val="000000"/>
          <w:sz w:val="20"/>
          <w:szCs w:val="20"/>
        </w:rPr>
        <w:t xml:space="preserve"> en estados con cambios de </w:t>
      </w:r>
      <w:r w:rsidR="00596263">
        <w:rPr>
          <w:rFonts w:eastAsia="Times New Roman" w:cs="Times New Roman"/>
          <w:b/>
          <w:bCs/>
          <w:color w:val="000000"/>
          <w:sz w:val="20"/>
          <w:szCs w:val="20"/>
        </w:rPr>
        <w:t xml:space="preserve">administración </w:t>
      </w:r>
      <w:r w:rsidR="007B1250">
        <w:rPr>
          <w:rFonts w:eastAsia="Times New Roman" w:cs="Times New Roman"/>
          <w:b/>
          <w:bCs/>
          <w:color w:val="000000"/>
          <w:sz w:val="20"/>
          <w:szCs w:val="20"/>
        </w:rPr>
        <w:t>municipal</w:t>
      </w:r>
      <w:r w:rsidR="0020386D" w:rsidRPr="00932075">
        <w:rPr>
          <w:rFonts w:eastAsia="Times New Roman" w:cs="Times New Roman"/>
          <w:b/>
          <w:bCs/>
          <w:color w:val="000000"/>
          <w:sz w:val="20"/>
          <w:szCs w:val="20"/>
        </w:rPr>
        <w:t xml:space="preserve"> en octubre de 2015</w:t>
      </w:r>
    </w:p>
    <w:p w14:paraId="736D03B9" w14:textId="77777777" w:rsidR="0020386D" w:rsidRPr="00932075" w:rsidRDefault="0015160E" w:rsidP="00932075">
      <w:pPr>
        <w:spacing w:after="0" w:line="240" w:lineRule="atLeast"/>
        <w:rPr>
          <w:rFonts w:ascii="Calibri" w:eastAsia="Calibri" w:hAnsi="Calibri" w:cs="Times New Roman"/>
        </w:rPr>
      </w:pPr>
      <w:r>
        <w:rPr>
          <w:noProof/>
        </w:rPr>
        <w:drawing>
          <wp:inline distT="0" distB="0" distL="0" distR="0" wp14:anchorId="7486D26F" wp14:editId="7343EE9F">
            <wp:extent cx="5781675" cy="4078605"/>
            <wp:effectExtent l="0" t="0" r="9525" b="1714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34B80F" w14:textId="77777777" w:rsidR="0020386D" w:rsidRPr="00E81B85" w:rsidRDefault="0020386D" w:rsidP="00E81B85">
      <w:pPr>
        <w:spacing w:line="240" w:lineRule="atLeast"/>
        <w:jc w:val="left"/>
        <w:rPr>
          <w:sz w:val="18"/>
        </w:rPr>
      </w:pPr>
      <w:r w:rsidRPr="00E81B85">
        <w:rPr>
          <w:sz w:val="18"/>
        </w:rPr>
        <w:t>Fuente: Unidad de Evaluación del Desempeño, SHCP; con datos del Sistema de Formato Único y de los Institutos Electorales Estatales.</w:t>
      </w:r>
    </w:p>
    <w:p w14:paraId="5985E7FF" w14:textId="77777777" w:rsidR="0020386D" w:rsidRDefault="0020386D" w:rsidP="0015160E">
      <w:pPr>
        <w:jc w:val="center"/>
      </w:pPr>
    </w:p>
    <w:p w14:paraId="01220598" w14:textId="77777777" w:rsidR="00ED4876" w:rsidRDefault="00ED4876" w:rsidP="00B86A00">
      <w:pPr>
        <w:ind w:firstLine="709"/>
      </w:pPr>
      <w:r>
        <w:t>Así, se hace</w:t>
      </w:r>
      <w:r w:rsidR="009B753E">
        <w:t xml:space="preserve"> evidente </w:t>
      </w:r>
      <w:r w:rsidR="009B753E" w:rsidRPr="008D175E">
        <w:t xml:space="preserve">que </w:t>
      </w:r>
      <w:r w:rsidR="009B753E" w:rsidRPr="002D530B">
        <w:t xml:space="preserve">esta variable no </w:t>
      </w:r>
      <w:r w:rsidR="0032186C" w:rsidRPr="002D530B">
        <w:t>puede correlacionarse con</w:t>
      </w:r>
      <w:r w:rsidRPr="002D530B">
        <w:t xml:space="preserve"> la cantidad de información reportada</w:t>
      </w:r>
      <w:r w:rsidRPr="008D175E">
        <w:t>,</w:t>
      </w:r>
      <w:r>
        <w:t xml:space="preserve"> dado que existe heterogeneidad en la capacidad de adaptación y reacción de las autoridades locales a las transiciones electorales</w:t>
      </w:r>
      <w:r w:rsidR="00BA5E21">
        <w:rPr>
          <w:rStyle w:val="Refdenotaalpie"/>
        </w:rPr>
        <w:footnoteReference w:id="10"/>
      </w:r>
      <w:r>
        <w:t>.</w:t>
      </w:r>
    </w:p>
    <w:p w14:paraId="113D5789" w14:textId="77777777" w:rsidR="000F72EB" w:rsidRPr="00E07956" w:rsidRDefault="000F72EB" w:rsidP="00B86A00">
      <w:pPr>
        <w:ind w:firstLine="709"/>
      </w:pPr>
      <w:r w:rsidRPr="00E07956">
        <w:lastRenderedPageBreak/>
        <w:t xml:space="preserve">Respecto a la calidad de la información reportada, puede observarse que el patrón de comportamiento de las entidades federativas que cambian de </w:t>
      </w:r>
      <w:r w:rsidR="00922057">
        <w:t>gobierno</w:t>
      </w:r>
      <w:r w:rsidRPr="00E07956">
        <w:t xml:space="preserve"> se mantiene a</w:t>
      </w:r>
      <w:r w:rsidR="00CD2C9C" w:rsidRPr="00E07956">
        <w:t xml:space="preserve"> pesar de la </w:t>
      </w:r>
      <w:r w:rsidR="00922057">
        <w:t xml:space="preserve">posible </w:t>
      </w:r>
      <w:r w:rsidR="00CD2C9C" w:rsidRPr="00E07956">
        <w:t>rotación</w:t>
      </w:r>
      <w:r w:rsidR="0032186C">
        <w:t xml:space="preserve"> de personal</w:t>
      </w:r>
      <w:r w:rsidR="00CD2C9C" w:rsidRPr="00E07956">
        <w:t xml:space="preserve"> </w:t>
      </w:r>
      <w:r w:rsidR="008D175E">
        <w:t xml:space="preserve">derivada de </w:t>
      </w:r>
      <w:r w:rsidR="0032186C">
        <w:t xml:space="preserve">las </w:t>
      </w:r>
      <w:r w:rsidR="00922057">
        <w:t>transiciones entre</w:t>
      </w:r>
      <w:r w:rsidR="0032186C">
        <w:t xml:space="preserve"> administraciones ocupando la </w:t>
      </w:r>
      <w:r w:rsidR="00A17C2C">
        <w:t>gubernatura</w:t>
      </w:r>
      <w:r w:rsidR="00922057">
        <w:t xml:space="preserve"> del estado</w:t>
      </w:r>
      <w:r w:rsidR="00CD2C9C" w:rsidRPr="00E07956">
        <w:t>.</w:t>
      </w:r>
      <w:r w:rsidRPr="00E07956">
        <w:t xml:space="preserve"> </w:t>
      </w:r>
      <w:r w:rsidR="00CD2C9C" w:rsidRPr="00E07956">
        <w:t>E</w:t>
      </w:r>
      <w:r w:rsidRPr="00E07956">
        <w:t>n este sentido</w:t>
      </w:r>
      <w:r w:rsidR="00CD2C9C" w:rsidRPr="00E07956">
        <w:t>,</w:t>
      </w:r>
      <w:r w:rsidRPr="00E07956">
        <w:t xml:space="preserve"> dado que el ICI se</w:t>
      </w:r>
      <w:r w:rsidR="00CD2C9C" w:rsidRPr="00E07956">
        <w:t xml:space="preserve"> calcula por entidad federativa, </w:t>
      </w:r>
      <w:r w:rsidRPr="00E07956">
        <w:t>en la siguiente tabla</w:t>
      </w:r>
      <w:r w:rsidR="00CD2C9C" w:rsidRPr="00E07956">
        <w:t xml:space="preserve"> se muestra</w:t>
      </w:r>
      <w:r w:rsidRPr="00E07956">
        <w:t xml:space="preserve"> la tasa de crecimiento </w:t>
      </w:r>
      <w:r w:rsidR="00722172">
        <w:t>para</w:t>
      </w:r>
      <w:r w:rsidRPr="00E07956">
        <w:t xml:space="preserve"> el tercer y cuarto trimestre del 2015</w:t>
      </w:r>
      <w:r w:rsidR="00722172">
        <w:t>, contra el trimestre inmediato anterior</w:t>
      </w:r>
      <w:r w:rsidRPr="00E07956">
        <w:t xml:space="preserve">. </w:t>
      </w:r>
      <w:r w:rsidR="00CD2C9C" w:rsidRPr="00E07956">
        <w:t>Se señalan en color gris aquellas</w:t>
      </w:r>
      <w:r w:rsidRPr="00E07956">
        <w:t xml:space="preserve"> entidades federativas</w:t>
      </w:r>
      <w:r w:rsidR="00A133AE" w:rsidRPr="00E07956">
        <w:t xml:space="preserve"> donde se llevaron a cabo elecciones de gobernador</w:t>
      </w:r>
      <w:r w:rsidRPr="00E07956">
        <w:t xml:space="preserve"> </w:t>
      </w:r>
      <w:r w:rsidR="00DF74B7" w:rsidRPr="00E07956">
        <w:t xml:space="preserve">y </w:t>
      </w:r>
      <w:r w:rsidRPr="00E07956">
        <w:t>donde</w:t>
      </w:r>
      <w:r w:rsidR="00DF74B7" w:rsidRPr="00E07956">
        <w:t xml:space="preserve"> el responsable del reporte fue</w:t>
      </w:r>
      <w:r w:rsidRPr="00E07956">
        <w:t xml:space="preserve"> </w:t>
      </w:r>
      <w:r w:rsidR="00CD2C9C" w:rsidRPr="00E07956">
        <w:t>la</w:t>
      </w:r>
      <w:r w:rsidR="0032186C">
        <w:t xml:space="preserve"> nueva</w:t>
      </w:r>
      <w:r w:rsidR="00CD2C9C" w:rsidRPr="00E07956">
        <w:t xml:space="preserve"> </w:t>
      </w:r>
      <w:r w:rsidR="0032186C">
        <w:t>administración.</w:t>
      </w:r>
    </w:p>
    <w:tbl>
      <w:tblPr>
        <w:tblW w:w="3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47"/>
        <w:gridCol w:w="2246"/>
        <w:gridCol w:w="2093"/>
      </w:tblGrid>
      <w:tr w:rsidR="000F72EB" w:rsidRPr="00445122" w14:paraId="231ACBDC" w14:textId="77777777" w:rsidTr="00E366A9">
        <w:trPr>
          <w:trHeight w:val="300"/>
          <w:tblHeader/>
          <w:jc w:val="center"/>
        </w:trPr>
        <w:tc>
          <w:tcPr>
            <w:tcW w:w="5000" w:type="pct"/>
            <w:gridSpan w:val="3"/>
            <w:tcBorders>
              <w:top w:val="nil"/>
              <w:left w:val="nil"/>
              <w:bottom w:val="single" w:sz="4" w:space="0" w:color="auto"/>
              <w:right w:val="nil"/>
            </w:tcBorders>
            <w:shd w:val="clear" w:color="auto" w:fill="auto"/>
            <w:noWrap/>
            <w:vAlign w:val="bottom"/>
          </w:tcPr>
          <w:p w14:paraId="7953E8E7" w14:textId="77777777" w:rsidR="000F72EB" w:rsidRPr="00445122" w:rsidRDefault="000F72EB" w:rsidP="007B1250">
            <w:pPr>
              <w:spacing w:after="0" w:line="240" w:lineRule="auto"/>
              <w:jc w:val="center"/>
              <w:rPr>
                <w:rFonts w:ascii="Calibri" w:eastAsia="Times New Roman" w:hAnsi="Calibri" w:cs="Times New Roman"/>
                <w:color w:val="000000"/>
              </w:rPr>
            </w:pPr>
            <w:r w:rsidRPr="00445122">
              <w:rPr>
                <w:rFonts w:eastAsia="Times New Roman" w:cs="Times New Roman"/>
                <w:b/>
                <w:bCs/>
                <w:color w:val="000000"/>
                <w:sz w:val="20"/>
                <w:szCs w:val="20"/>
              </w:rPr>
              <w:t xml:space="preserve">Tabla </w:t>
            </w:r>
            <w:r w:rsidR="00F51FA0" w:rsidRPr="00445122">
              <w:rPr>
                <w:rFonts w:eastAsia="Times New Roman" w:cs="Times New Roman"/>
                <w:b/>
                <w:bCs/>
                <w:color w:val="000000"/>
                <w:sz w:val="20"/>
                <w:szCs w:val="20"/>
              </w:rPr>
              <w:t>4</w:t>
            </w:r>
            <w:r w:rsidRPr="00445122">
              <w:rPr>
                <w:rFonts w:eastAsia="Times New Roman" w:cs="Times New Roman"/>
                <w:b/>
                <w:bCs/>
                <w:color w:val="000000"/>
                <w:sz w:val="20"/>
                <w:szCs w:val="20"/>
              </w:rPr>
              <w:t xml:space="preserve">. Tasa de </w:t>
            </w:r>
            <w:r w:rsidR="0030241C" w:rsidRPr="00445122">
              <w:rPr>
                <w:rFonts w:eastAsia="Times New Roman" w:cs="Times New Roman"/>
                <w:b/>
                <w:bCs/>
                <w:color w:val="000000"/>
                <w:sz w:val="20"/>
                <w:szCs w:val="20"/>
              </w:rPr>
              <w:t>variación</w:t>
            </w:r>
            <w:r w:rsidRPr="00445122">
              <w:rPr>
                <w:rFonts w:eastAsia="Times New Roman" w:cs="Times New Roman"/>
                <w:b/>
                <w:bCs/>
                <w:color w:val="000000"/>
                <w:sz w:val="20"/>
                <w:szCs w:val="20"/>
              </w:rPr>
              <w:t xml:space="preserve"> del ICI por entidad federativa</w:t>
            </w:r>
          </w:p>
        </w:tc>
      </w:tr>
      <w:tr w:rsidR="000F72EB" w:rsidRPr="00445122" w14:paraId="08FC407B" w14:textId="77777777" w:rsidTr="00E366A9">
        <w:trPr>
          <w:trHeight w:val="300"/>
          <w:tblHeader/>
          <w:jc w:val="center"/>
        </w:trPr>
        <w:tc>
          <w:tcPr>
            <w:tcW w:w="1706" w:type="pct"/>
            <w:tcBorders>
              <w:top w:val="single" w:sz="4" w:space="0" w:color="auto"/>
            </w:tcBorders>
            <w:shd w:val="clear" w:color="auto" w:fill="00853F"/>
            <w:noWrap/>
            <w:vAlign w:val="center"/>
            <w:hideMark/>
          </w:tcPr>
          <w:p w14:paraId="560B8260" w14:textId="77777777" w:rsidR="000F72EB" w:rsidRPr="00445122" w:rsidRDefault="000F72EB" w:rsidP="00A62D94">
            <w:pPr>
              <w:spacing w:after="0" w:line="240" w:lineRule="auto"/>
              <w:jc w:val="center"/>
              <w:rPr>
                <w:rFonts w:eastAsia="Times New Roman" w:cs="Times New Roman"/>
                <w:color w:val="FFFFFF" w:themeColor="background1"/>
                <w:sz w:val="20"/>
                <w:szCs w:val="20"/>
              </w:rPr>
            </w:pPr>
            <w:r w:rsidRPr="00445122">
              <w:rPr>
                <w:rFonts w:eastAsia="Times New Roman" w:cs="Times New Roman"/>
                <w:color w:val="FFFFFF" w:themeColor="background1"/>
                <w:sz w:val="20"/>
                <w:szCs w:val="20"/>
              </w:rPr>
              <w:t>Entidad Federativa</w:t>
            </w:r>
          </w:p>
        </w:tc>
        <w:tc>
          <w:tcPr>
            <w:tcW w:w="1705" w:type="pct"/>
            <w:tcBorders>
              <w:top w:val="single" w:sz="4" w:space="0" w:color="auto"/>
            </w:tcBorders>
            <w:shd w:val="clear" w:color="auto" w:fill="00853F"/>
            <w:noWrap/>
            <w:vAlign w:val="center"/>
            <w:hideMark/>
          </w:tcPr>
          <w:p w14:paraId="12957358" w14:textId="77777777" w:rsidR="000F72EB" w:rsidRPr="00445122" w:rsidRDefault="000F72EB" w:rsidP="00CD2C9C">
            <w:pPr>
              <w:spacing w:after="0" w:line="240" w:lineRule="auto"/>
              <w:jc w:val="center"/>
              <w:rPr>
                <w:rFonts w:eastAsia="Times New Roman" w:cs="Times New Roman"/>
                <w:color w:val="FFFFFF" w:themeColor="background1"/>
                <w:sz w:val="20"/>
                <w:szCs w:val="20"/>
              </w:rPr>
            </w:pPr>
            <w:r w:rsidRPr="00445122">
              <w:rPr>
                <w:rFonts w:eastAsia="Times New Roman" w:cs="Times New Roman"/>
                <w:color w:val="FFFFFF" w:themeColor="background1"/>
                <w:sz w:val="20"/>
                <w:szCs w:val="20"/>
              </w:rPr>
              <w:t xml:space="preserve">3er trimestre </w:t>
            </w:r>
            <w:r w:rsidR="00CD2C9C" w:rsidRPr="00445122">
              <w:rPr>
                <w:rFonts w:eastAsia="Times New Roman" w:cs="Times New Roman"/>
                <w:color w:val="FFFFFF" w:themeColor="background1"/>
                <w:sz w:val="20"/>
                <w:szCs w:val="20"/>
              </w:rPr>
              <w:t>respecto al 2do</w:t>
            </w:r>
          </w:p>
        </w:tc>
        <w:tc>
          <w:tcPr>
            <w:tcW w:w="1589" w:type="pct"/>
            <w:tcBorders>
              <w:top w:val="single" w:sz="4" w:space="0" w:color="auto"/>
            </w:tcBorders>
            <w:shd w:val="clear" w:color="auto" w:fill="00853F"/>
            <w:noWrap/>
            <w:vAlign w:val="center"/>
            <w:hideMark/>
          </w:tcPr>
          <w:p w14:paraId="0A76C1FA" w14:textId="77777777" w:rsidR="00CD2C9C" w:rsidRPr="00445122" w:rsidRDefault="000F72EB" w:rsidP="00CD2C9C">
            <w:pPr>
              <w:spacing w:after="0" w:line="240" w:lineRule="auto"/>
              <w:jc w:val="center"/>
              <w:rPr>
                <w:rFonts w:eastAsia="Times New Roman" w:cs="Times New Roman"/>
                <w:color w:val="FFFFFF" w:themeColor="background1"/>
                <w:sz w:val="20"/>
                <w:szCs w:val="20"/>
              </w:rPr>
            </w:pPr>
            <w:r w:rsidRPr="00445122">
              <w:rPr>
                <w:rFonts w:eastAsia="Times New Roman" w:cs="Times New Roman"/>
                <w:color w:val="FFFFFF" w:themeColor="background1"/>
                <w:sz w:val="20"/>
                <w:szCs w:val="20"/>
              </w:rPr>
              <w:t xml:space="preserve">4to trimestre </w:t>
            </w:r>
            <w:r w:rsidR="00CD2C9C" w:rsidRPr="00445122">
              <w:rPr>
                <w:rFonts w:eastAsia="Times New Roman" w:cs="Times New Roman"/>
                <w:color w:val="FFFFFF" w:themeColor="background1"/>
                <w:sz w:val="20"/>
                <w:szCs w:val="20"/>
              </w:rPr>
              <w:t>respecto al 3ro</w:t>
            </w:r>
          </w:p>
        </w:tc>
      </w:tr>
      <w:tr w:rsidR="00883EC4" w:rsidRPr="00445122" w14:paraId="4B4D892A" w14:textId="77777777" w:rsidTr="00922057">
        <w:trPr>
          <w:trHeight w:val="300"/>
          <w:jc w:val="center"/>
        </w:trPr>
        <w:tc>
          <w:tcPr>
            <w:tcW w:w="1706" w:type="pct"/>
            <w:shd w:val="clear" w:color="auto" w:fill="auto"/>
            <w:noWrap/>
            <w:hideMark/>
          </w:tcPr>
          <w:p w14:paraId="50426C0D" w14:textId="77777777" w:rsidR="00883EC4" w:rsidRPr="00445122" w:rsidRDefault="00883EC4" w:rsidP="00883EC4">
            <w:pPr>
              <w:spacing w:after="0" w:line="240" w:lineRule="auto"/>
              <w:jc w:val="left"/>
              <w:rPr>
                <w:rFonts w:eastAsia="Times New Roman" w:cs="Arial"/>
                <w:color w:val="000000"/>
              </w:rPr>
            </w:pPr>
            <w:r w:rsidRPr="00356CAC">
              <w:t>Aguascalientes</w:t>
            </w:r>
          </w:p>
        </w:tc>
        <w:tc>
          <w:tcPr>
            <w:tcW w:w="1705" w:type="pct"/>
            <w:tcBorders>
              <w:top w:val="single" w:sz="8" w:space="0" w:color="auto"/>
              <w:left w:val="single" w:sz="8" w:space="0" w:color="auto"/>
              <w:bottom w:val="single" w:sz="8" w:space="0" w:color="auto"/>
              <w:right w:val="single" w:sz="8" w:space="0" w:color="auto"/>
            </w:tcBorders>
            <w:shd w:val="clear" w:color="auto" w:fill="auto"/>
            <w:noWrap/>
            <w:hideMark/>
          </w:tcPr>
          <w:p w14:paraId="1F37FF7F" w14:textId="77777777" w:rsidR="00883EC4" w:rsidRPr="00445122" w:rsidRDefault="00883EC4" w:rsidP="00883EC4">
            <w:pPr>
              <w:spacing w:after="0" w:line="240" w:lineRule="auto"/>
              <w:jc w:val="center"/>
              <w:rPr>
                <w:rFonts w:eastAsia="Times New Roman" w:cs="Times New Roman"/>
                <w:color w:val="000000"/>
              </w:rPr>
            </w:pPr>
            <w:r w:rsidRPr="00356CAC">
              <w:t>8.3%</w:t>
            </w:r>
          </w:p>
        </w:tc>
        <w:tc>
          <w:tcPr>
            <w:tcW w:w="1589" w:type="pct"/>
            <w:tcBorders>
              <w:top w:val="single" w:sz="8" w:space="0" w:color="auto"/>
              <w:left w:val="nil"/>
              <w:bottom w:val="single" w:sz="8" w:space="0" w:color="auto"/>
              <w:right w:val="single" w:sz="8" w:space="0" w:color="auto"/>
            </w:tcBorders>
            <w:shd w:val="clear" w:color="auto" w:fill="auto"/>
            <w:noWrap/>
            <w:hideMark/>
          </w:tcPr>
          <w:p w14:paraId="42517DA2" w14:textId="77777777" w:rsidR="00883EC4" w:rsidRPr="00445122" w:rsidRDefault="00883EC4" w:rsidP="00883EC4">
            <w:pPr>
              <w:spacing w:after="0" w:line="240" w:lineRule="auto"/>
              <w:jc w:val="center"/>
              <w:rPr>
                <w:rFonts w:eastAsia="Times New Roman" w:cs="Times New Roman"/>
                <w:color w:val="000000"/>
              </w:rPr>
            </w:pPr>
            <w:r w:rsidRPr="00356CAC">
              <w:t>15.4%</w:t>
            </w:r>
          </w:p>
        </w:tc>
      </w:tr>
      <w:tr w:rsidR="00883EC4" w:rsidRPr="00445122" w14:paraId="4547CB5C" w14:textId="77777777" w:rsidTr="00922057">
        <w:trPr>
          <w:trHeight w:val="300"/>
          <w:jc w:val="center"/>
        </w:trPr>
        <w:tc>
          <w:tcPr>
            <w:tcW w:w="1706" w:type="pct"/>
            <w:shd w:val="clear" w:color="auto" w:fill="auto"/>
            <w:noWrap/>
            <w:hideMark/>
          </w:tcPr>
          <w:p w14:paraId="7893FDE0" w14:textId="77777777" w:rsidR="00883EC4" w:rsidRPr="00445122" w:rsidRDefault="00883EC4" w:rsidP="00883EC4">
            <w:pPr>
              <w:spacing w:after="0" w:line="240" w:lineRule="auto"/>
              <w:jc w:val="left"/>
              <w:rPr>
                <w:rFonts w:eastAsia="Times New Roman" w:cs="Arial"/>
                <w:color w:val="000000"/>
              </w:rPr>
            </w:pPr>
            <w:r w:rsidRPr="00356CAC">
              <w:t>Querétaro</w:t>
            </w:r>
          </w:p>
        </w:tc>
        <w:tc>
          <w:tcPr>
            <w:tcW w:w="1705" w:type="pct"/>
            <w:tcBorders>
              <w:top w:val="nil"/>
              <w:left w:val="single" w:sz="8" w:space="0" w:color="auto"/>
              <w:bottom w:val="single" w:sz="8" w:space="0" w:color="auto"/>
              <w:right w:val="single" w:sz="8" w:space="0" w:color="auto"/>
            </w:tcBorders>
            <w:shd w:val="clear" w:color="auto" w:fill="auto"/>
            <w:noWrap/>
            <w:hideMark/>
          </w:tcPr>
          <w:p w14:paraId="607F709C" w14:textId="77777777" w:rsidR="00883EC4" w:rsidRPr="00445122" w:rsidRDefault="00883EC4" w:rsidP="00883EC4">
            <w:pPr>
              <w:spacing w:after="0" w:line="240" w:lineRule="auto"/>
              <w:jc w:val="center"/>
              <w:rPr>
                <w:rFonts w:eastAsia="Times New Roman" w:cs="Times New Roman"/>
                <w:color w:val="000000"/>
              </w:rPr>
            </w:pPr>
            <w:r w:rsidRPr="00356CAC">
              <w:t>12.5%</w:t>
            </w:r>
          </w:p>
        </w:tc>
        <w:tc>
          <w:tcPr>
            <w:tcW w:w="1589" w:type="pct"/>
            <w:tcBorders>
              <w:top w:val="nil"/>
              <w:left w:val="nil"/>
              <w:bottom w:val="single" w:sz="8" w:space="0" w:color="auto"/>
              <w:right w:val="single" w:sz="8" w:space="0" w:color="auto"/>
            </w:tcBorders>
            <w:shd w:val="clear" w:color="auto" w:fill="auto"/>
            <w:noWrap/>
            <w:hideMark/>
          </w:tcPr>
          <w:p w14:paraId="141002CA" w14:textId="77777777" w:rsidR="00883EC4" w:rsidRPr="00445122" w:rsidRDefault="00883EC4" w:rsidP="00883EC4">
            <w:pPr>
              <w:spacing w:after="0" w:line="240" w:lineRule="auto"/>
              <w:jc w:val="center"/>
              <w:rPr>
                <w:rFonts w:eastAsia="Times New Roman" w:cs="Times New Roman"/>
                <w:color w:val="000000"/>
              </w:rPr>
            </w:pPr>
            <w:r w:rsidRPr="00356CAC">
              <w:t>-5.6%</w:t>
            </w:r>
          </w:p>
        </w:tc>
      </w:tr>
      <w:tr w:rsidR="00883EC4" w:rsidRPr="00445122" w14:paraId="69C6F1F7" w14:textId="77777777" w:rsidTr="00922057">
        <w:trPr>
          <w:trHeight w:val="300"/>
          <w:jc w:val="center"/>
        </w:trPr>
        <w:tc>
          <w:tcPr>
            <w:tcW w:w="1706" w:type="pct"/>
            <w:shd w:val="clear" w:color="auto" w:fill="auto"/>
            <w:noWrap/>
            <w:hideMark/>
          </w:tcPr>
          <w:p w14:paraId="6E51694D" w14:textId="77777777" w:rsidR="00883EC4" w:rsidRPr="00445122" w:rsidRDefault="00883EC4" w:rsidP="00883EC4">
            <w:pPr>
              <w:spacing w:after="0" w:line="240" w:lineRule="auto"/>
              <w:jc w:val="left"/>
              <w:rPr>
                <w:rFonts w:eastAsia="Times New Roman" w:cs="Arial"/>
                <w:color w:val="000000"/>
              </w:rPr>
            </w:pPr>
            <w:r w:rsidRPr="00356CAC">
              <w:t>Durango</w:t>
            </w:r>
          </w:p>
        </w:tc>
        <w:tc>
          <w:tcPr>
            <w:tcW w:w="1705" w:type="pct"/>
            <w:tcBorders>
              <w:top w:val="nil"/>
              <w:left w:val="single" w:sz="8" w:space="0" w:color="auto"/>
              <w:bottom w:val="single" w:sz="8" w:space="0" w:color="auto"/>
              <w:right w:val="single" w:sz="8" w:space="0" w:color="auto"/>
            </w:tcBorders>
            <w:shd w:val="clear" w:color="000000" w:fill="BFBFBF"/>
            <w:noWrap/>
            <w:hideMark/>
          </w:tcPr>
          <w:p w14:paraId="4441A9DB" w14:textId="77777777" w:rsidR="00883EC4" w:rsidRPr="00445122" w:rsidRDefault="00883EC4" w:rsidP="00883EC4">
            <w:pPr>
              <w:spacing w:after="0" w:line="240" w:lineRule="auto"/>
              <w:jc w:val="center"/>
              <w:rPr>
                <w:rFonts w:eastAsia="Times New Roman" w:cs="Times New Roman"/>
                <w:color w:val="000000"/>
              </w:rPr>
            </w:pPr>
            <w:r w:rsidRPr="00356CAC">
              <w:t>34.6%</w:t>
            </w:r>
          </w:p>
        </w:tc>
        <w:tc>
          <w:tcPr>
            <w:tcW w:w="1589" w:type="pct"/>
            <w:tcBorders>
              <w:top w:val="nil"/>
              <w:left w:val="nil"/>
              <w:bottom w:val="single" w:sz="8" w:space="0" w:color="auto"/>
              <w:right w:val="single" w:sz="8" w:space="0" w:color="auto"/>
            </w:tcBorders>
            <w:shd w:val="clear" w:color="auto" w:fill="auto"/>
            <w:noWrap/>
            <w:hideMark/>
          </w:tcPr>
          <w:p w14:paraId="261E0C34" w14:textId="77777777" w:rsidR="00883EC4" w:rsidRPr="00445122" w:rsidRDefault="00883EC4" w:rsidP="00883EC4">
            <w:pPr>
              <w:spacing w:after="0" w:line="240" w:lineRule="auto"/>
              <w:jc w:val="center"/>
              <w:rPr>
                <w:rFonts w:eastAsia="Times New Roman" w:cs="Times New Roman"/>
                <w:color w:val="000000"/>
              </w:rPr>
            </w:pPr>
            <w:r w:rsidRPr="00356CAC">
              <w:t>-4.3%</w:t>
            </w:r>
          </w:p>
        </w:tc>
      </w:tr>
      <w:tr w:rsidR="00883EC4" w:rsidRPr="00445122" w14:paraId="703168AC" w14:textId="77777777" w:rsidTr="00922057">
        <w:trPr>
          <w:trHeight w:val="300"/>
          <w:jc w:val="center"/>
        </w:trPr>
        <w:tc>
          <w:tcPr>
            <w:tcW w:w="1706" w:type="pct"/>
            <w:shd w:val="clear" w:color="auto" w:fill="auto"/>
            <w:noWrap/>
            <w:hideMark/>
          </w:tcPr>
          <w:p w14:paraId="103D9116" w14:textId="77777777" w:rsidR="00883EC4" w:rsidRPr="00445122" w:rsidRDefault="00883EC4" w:rsidP="00883EC4">
            <w:pPr>
              <w:spacing w:after="0" w:line="240" w:lineRule="auto"/>
              <w:jc w:val="left"/>
              <w:rPr>
                <w:rFonts w:eastAsia="Times New Roman" w:cs="Arial"/>
                <w:color w:val="000000"/>
              </w:rPr>
            </w:pPr>
            <w:r w:rsidRPr="00356CAC">
              <w:t>Quintana Roo</w:t>
            </w:r>
          </w:p>
        </w:tc>
        <w:tc>
          <w:tcPr>
            <w:tcW w:w="1705" w:type="pct"/>
            <w:tcBorders>
              <w:top w:val="nil"/>
              <w:left w:val="single" w:sz="8" w:space="0" w:color="auto"/>
              <w:bottom w:val="single" w:sz="8" w:space="0" w:color="auto"/>
              <w:right w:val="single" w:sz="8" w:space="0" w:color="auto"/>
            </w:tcBorders>
            <w:shd w:val="clear" w:color="000000" w:fill="BFBFBF"/>
            <w:noWrap/>
            <w:hideMark/>
          </w:tcPr>
          <w:p w14:paraId="24F3B23D" w14:textId="77777777" w:rsidR="00883EC4" w:rsidRPr="00445122" w:rsidRDefault="00883EC4" w:rsidP="00883EC4">
            <w:pPr>
              <w:spacing w:after="0" w:line="240" w:lineRule="auto"/>
              <w:jc w:val="center"/>
              <w:rPr>
                <w:rFonts w:eastAsia="Times New Roman" w:cs="Times New Roman"/>
                <w:color w:val="000000"/>
              </w:rPr>
            </w:pPr>
            <w:r w:rsidRPr="00356CAC">
              <w:t>61.7%</w:t>
            </w:r>
          </w:p>
        </w:tc>
        <w:tc>
          <w:tcPr>
            <w:tcW w:w="1589" w:type="pct"/>
            <w:tcBorders>
              <w:top w:val="nil"/>
              <w:left w:val="nil"/>
              <w:bottom w:val="single" w:sz="8" w:space="0" w:color="auto"/>
              <w:right w:val="single" w:sz="8" w:space="0" w:color="auto"/>
            </w:tcBorders>
            <w:shd w:val="clear" w:color="auto" w:fill="auto"/>
            <w:noWrap/>
            <w:hideMark/>
          </w:tcPr>
          <w:p w14:paraId="34099F4F" w14:textId="77777777" w:rsidR="00883EC4" w:rsidRPr="00445122" w:rsidRDefault="00883EC4" w:rsidP="00883EC4">
            <w:pPr>
              <w:spacing w:after="0" w:line="240" w:lineRule="auto"/>
              <w:jc w:val="center"/>
              <w:rPr>
                <w:rFonts w:eastAsia="Times New Roman" w:cs="Times New Roman"/>
                <w:color w:val="000000"/>
              </w:rPr>
            </w:pPr>
            <w:r w:rsidRPr="00356CAC">
              <w:t>-3.9%</w:t>
            </w:r>
          </w:p>
        </w:tc>
      </w:tr>
      <w:tr w:rsidR="00883EC4" w:rsidRPr="00445122" w14:paraId="719C95BF" w14:textId="77777777" w:rsidTr="00922057">
        <w:trPr>
          <w:trHeight w:val="300"/>
          <w:jc w:val="center"/>
        </w:trPr>
        <w:tc>
          <w:tcPr>
            <w:tcW w:w="1706" w:type="pct"/>
            <w:shd w:val="clear" w:color="auto" w:fill="auto"/>
            <w:noWrap/>
            <w:hideMark/>
          </w:tcPr>
          <w:p w14:paraId="3289798F" w14:textId="77777777" w:rsidR="00883EC4" w:rsidRPr="00445122" w:rsidRDefault="00883EC4" w:rsidP="00883EC4">
            <w:pPr>
              <w:spacing w:after="0" w:line="240" w:lineRule="auto"/>
              <w:jc w:val="left"/>
              <w:rPr>
                <w:rFonts w:eastAsia="Times New Roman" w:cs="Arial"/>
                <w:color w:val="000000"/>
              </w:rPr>
            </w:pPr>
            <w:r w:rsidRPr="00356CAC">
              <w:t>Campeche</w:t>
            </w:r>
          </w:p>
        </w:tc>
        <w:tc>
          <w:tcPr>
            <w:tcW w:w="1705" w:type="pct"/>
            <w:tcBorders>
              <w:top w:val="nil"/>
              <w:left w:val="single" w:sz="8" w:space="0" w:color="auto"/>
              <w:bottom w:val="single" w:sz="8" w:space="0" w:color="auto"/>
              <w:right w:val="single" w:sz="8" w:space="0" w:color="auto"/>
            </w:tcBorders>
            <w:shd w:val="clear" w:color="auto" w:fill="auto"/>
            <w:noWrap/>
            <w:hideMark/>
          </w:tcPr>
          <w:p w14:paraId="5F092C27" w14:textId="77777777" w:rsidR="00883EC4" w:rsidRPr="00445122" w:rsidRDefault="00883EC4" w:rsidP="00883EC4">
            <w:pPr>
              <w:spacing w:after="0" w:line="240" w:lineRule="auto"/>
              <w:jc w:val="center"/>
              <w:rPr>
                <w:rFonts w:eastAsia="Times New Roman" w:cs="Times New Roman"/>
                <w:color w:val="000000"/>
              </w:rPr>
            </w:pPr>
            <w:r w:rsidRPr="00356CAC">
              <w:t>23.1%</w:t>
            </w:r>
          </w:p>
        </w:tc>
        <w:tc>
          <w:tcPr>
            <w:tcW w:w="1589" w:type="pct"/>
            <w:tcBorders>
              <w:top w:val="nil"/>
              <w:left w:val="nil"/>
              <w:bottom w:val="single" w:sz="8" w:space="0" w:color="auto"/>
              <w:right w:val="single" w:sz="8" w:space="0" w:color="auto"/>
            </w:tcBorders>
            <w:shd w:val="clear" w:color="auto" w:fill="auto"/>
            <w:noWrap/>
            <w:hideMark/>
          </w:tcPr>
          <w:p w14:paraId="7DEFBFC3" w14:textId="77777777" w:rsidR="00883EC4" w:rsidRPr="00445122" w:rsidRDefault="00883EC4" w:rsidP="00883EC4">
            <w:pPr>
              <w:spacing w:after="0" w:line="240" w:lineRule="auto"/>
              <w:jc w:val="center"/>
              <w:rPr>
                <w:rFonts w:eastAsia="Times New Roman" w:cs="Times New Roman"/>
                <w:color w:val="000000"/>
              </w:rPr>
            </w:pPr>
            <w:r w:rsidRPr="00356CAC">
              <w:t>1.3%</w:t>
            </w:r>
          </w:p>
        </w:tc>
      </w:tr>
      <w:tr w:rsidR="00883EC4" w:rsidRPr="00445122" w14:paraId="37A42FC7" w14:textId="77777777" w:rsidTr="00922057">
        <w:trPr>
          <w:trHeight w:val="300"/>
          <w:jc w:val="center"/>
        </w:trPr>
        <w:tc>
          <w:tcPr>
            <w:tcW w:w="1706" w:type="pct"/>
            <w:shd w:val="clear" w:color="auto" w:fill="auto"/>
            <w:noWrap/>
            <w:hideMark/>
          </w:tcPr>
          <w:p w14:paraId="1F29AE9C" w14:textId="77777777" w:rsidR="00883EC4" w:rsidRPr="00445122" w:rsidRDefault="00883EC4">
            <w:pPr>
              <w:spacing w:after="0" w:line="240" w:lineRule="auto"/>
              <w:jc w:val="left"/>
              <w:rPr>
                <w:rFonts w:eastAsia="Times New Roman" w:cs="Arial"/>
                <w:color w:val="000000"/>
              </w:rPr>
            </w:pPr>
            <w:r w:rsidRPr="00356CAC">
              <w:t>Coahuila</w:t>
            </w:r>
            <w:r w:rsidRPr="00445122" w:rsidDel="00CB62B3">
              <w:rPr>
                <w:rFonts w:eastAsia="Times New Roman" w:cs="Arial"/>
                <w:color w:val="000000"/>
              </w:rPr>
              <w:t xml:space="preserve"> </w:t>
            </w:r>
          </w:p>
        </w:tc>
        <w:tc>
          <w:tcPr>
            <w:tcW w:w="1705" w:type="pct"/>
            <w:tcBorders>
              <w:top w:val="nil"/>
              <w:left w:val="single" w:sz="8" w:space="0" w:color="auto"/>
              <w:bottom w:val="single" w:sz="8" w:space="0" w:color="auto"/>
              <w:right w:val="single" w:sz="8" w:space="0" w:color="auto"/>
            </w:tcBorders>
            <w:shd w:val="clear" w:color="auto" w:fill="auto"/>
            <w:noWrap/>
            <w:hideMark/>
          </w:tcPr>
          <w:p w14:paraId="1D1C51A5" w14:textId="77777777" w:rsidR="00883EC4" w:rsidRPr="00445122" w:rsidRDefault="00883EC4" w:rsidP="00883EC4">
            <w:pPr>
              <w:spacing w:after="0" w:line="240" w:lineRule="auto"/>
              <w:jc w:val="center"/>
              <w:rPr>
                <w:rFonts w:eastAsia="Times New Roman" w:cs="Times New Roman"/>
                <w:color w:val="000000"/>
              </w:rPr>
            </w:pPr>
            <w:r w:rsidRPr="00356CAC">
              <w:t>29.1%</w:t>
            </w:r>
          </w:p>
        </w:tc>
        <w:tc>
          <w:tcPr>
            <w:tcW w:w="1589" w:type="pct"/>
            <w:tcBorders>
              <w:top w:val="nil"/>
              <w:left w:val="nil"/>
              <w:bottom w:val="single" w:sz="8" w:space="0" w:color="auto"/>
              <w:right w:val="single" w:sz="8" w:space="0" w:color="auto"/>
            </w:tcBorders>
            <w:shd w:val="clear" w:color="auto" w:fill="auto"/>
            <w:noWrap/>
            <w:hideMark/>
          </w:tcPr>
          <w:p w14:paraId="6274D88B" w14:textId="77777777" w:rsidR="00883EC4" w:rsidRPr="00445122" w:rsidRDefault="00883EC4" w:rsidP="00883EC4">
            <w:pPr>
              <w:spacing w:after="0" w:line="240" w:lineRule="auto"/>
              <w:jc w:val="center"/>
              <w:rPr>
                <w:rFonts w:eastAsia="Times New Roman" w:cs="Times New Roman"/>
                <w:color w:val="000000"/>
              </w:rPr>
            </w:pPr>
            <w:r w:rsidRPr="00356CAC">
              <w:t>1.4%</w:t>
            </w:r>
          </w:p>
        </w:tc>
      </w:tr>
      <w:tr w:rsidR="00883EC4" w:rsidRPr="00445122" w14:paraId="61AE3567" w14:textId="77777777" w:rsidTr="00922057">
        <w:trPr>
          <w:trHeight w:val="300"/>
          <w:jc w:val="center"/>
        </w:trPr>
        <w:tc>
          <w:tcPr>
            <w:tcW w:w="1706" w:type="pct"/>
            <w:shd w:val="clear" w:color="auto" w:fill="auto"/>
            <w:noWrap/>
            <w:hideMark/>
          </w:tcPr>
          <w:p w14:paraId="30C9B29F" w14:textId="77777777" w:rsidR="00883EC4" w:rsidRPr="00445122" w:rsidRDefault="00883EC4" w:rsidP="00883EC4">
            <w:pPr>
              <w:spacing w:after="0" w:line="240" w:lineRule="auto"/>
              <w:jc w:val="left"/>
              <w:rPr>
                <w:rFonts w:eastAsia="Times New Roman" w:cs="Arial"/>
                <w:color w:val="000000"/>
              </w:rPr>
            </w:pPr>
            <w:r w:rsidRPr="00356CAC">
              <w:t>Baja California</w:t>
            </w:r>
          </w:p>
        </w:tc>
        <w:tc>
          <w:tcPr>
            <w:tcW w:w="1705" w:type="pct"/>
            <w:tcBorders>
              <w:top w:val="nil"/>
              <w:left w:val="single" w:sz="8" w:space="0" w:color="auto"/>
              <w:bottom w:val="single" w:sz="8" w:space="0" w:color="auto"/>
              <w:right w:val="single" w:sz="8" w:space="0" w:color="auto"/>
            </w:tcBorders>
            <w:shd w:val="clear" w:color="auto" w:fill="auto"/>
            <w:noWrap/>
            <w:hideMark/>
          </w:tcPr>
          <w:p w14:paraId="44D6429F" w14:textId="77777777" w:rsidR="00883EC4" w:rsidRPr="00445122" w:rsidRDefault="00883EC4" w:rsidP="00883EC4">
            <w:pPr>
              <w:spacing w:after="0" w:line="240" w:lineRule="auto"/>
              <w:jc w:val="center"/>
              <w:rPr>
                <w:rFonts w:eastAsia="Times New Roman" w:cs="Times New Roman"/>
                <w:color w:val="000000"/>
              </w:rPr>
            </w:pPr>
            <w:r w:rsidRPr="00356CAC">
              <w:t>11.1%</w:t>
            </w:r>
          </w:p>
        </w:tc>
        <w:tc>
          <w:tcPr>
            <w:tcW w:w="1589" w:type="pct"/>
            <w:tcBorders>
              <w:top w:val="nil"/>
              <w:left w:val="nil"/>
              <w:bottom w:val="single" w:sz="8" w:space="0" w:color="auto"/>
              <w:right w:val="single" w:sz="8" w:space="0" w:color="auto"/>
            </w:tcBorders>
            <w:shd w:val="clear" w:color="auto" w:fill="auto"/>
            <w:noWrap/>
            <w:hideMark/>
          </w:tcPr>
          <w:p w14:paraId="6AC6A4D3" w14:textId="77777777" w:rsidR="00883EC4" w:rsidRPr="00445122" w:rsidRDefault="00883EC4" w:rsidP="00883EC4">
            <w:pPr>
              <w:spacing w:after="0" w:line="240" w:lineRule="auto"/>
              <w:jc w:val="center"/>
              <w:rPr>
                <w:rFonts w:eastAsia="Times New Roman" w:cs="Times New Roman"/>
                <w:color w:val="000000"/>
              </w:rPr>
            </w:pPr>
            <w:r w:rsidRPr="00356CAC">
              <w:t>4.3%</w:t>
            </w:r>
          </w:p>
        </w:tc>
      </w:tr>
      <w:tr w:rsidR="00883EC4" w:rsidRPr="00445122" w14:paraId="2B8ADB3E" w14:textId="77777777" w:rsidTr="00922057">
        <w:trPr>
          <w:trHeight w:val="300"/>
          <w:jc w:val="center"/>
        </w:trPr>
        <w:tc>
          <w:tcPr>
            <w:tcW w:w="1706" w:type="pct"/>
            <w:shd w:val="clear" w:color="auto" w:fill="auto"/>
            <w:noWrap/>
            <w:hideMark/>
          </w:tcPr>
          <w:p w14:paraId="734388E8" w14:textId="77777777" w:rsidR="00883EC4" w:rsidRPr="00445122" w:rsidRDefault="00883EC4" w:rsidP="00883EC4">
            <w:pPr>
              <w:spacing w:after="0" w:line="240" w:lineRule="auto"/>
              <w:jc w:val="left"/>
              <w:rPr>
                <w:rFonts w:eastAsia="Times New Roman" w:cs="Arial"/>
                <w:color w:val="000000"/>
              </w:rPr>
            </w:pPr>
            <w:r w:rsidRPr="00356CAC">
              <w:t>Nuevo León</w:t>
            </w:r>
          </w:p>
        </w:tc>
        <w:tc>
          <w:tcPr>
            <w:tcW w:w="1705" w:type="pct"/>
            <w:tcBorders>
              <w:top w:val="nil"/>
              <w:left w:val="single" w:sz="8" w:space="0" w:color="auto"/>
              <w:bottom w:val="single" w:sz="8" w:space="0" w:color="auto"/>
              <w:right w:val="single" w:sz="8" w:space="0" w:color="auto"/>
            </w:tcBorders>
            <w:shd w:val="clear" w:color="auto" w:fill="auto"/>
            <w:noWrap/>
            <w:hideMark/>
          </w:tcPr>
          <w:p w14:paraId="00E819FB" w14:textId="77777777" w:rsidR="00883EC4" w:rsidRPr="00445122" w:rsidRDefault="00883EC4" w:rsidP="00883EC4">
            <w:pPr>
              <w:spacing w:after="0" w:line="240" w:lineRule="auto"/>
              <w:jc w:val="center"/>
              <w:rPr>
                <w:rFonts w:eastAsia="Times New Roman" w:cs="Times New Roman"/>
                <w:color w:val="000000"/>
              </w:rPr>
            </w:pPr>
            <w:r w:rsidRPr="00356CAC">
              <w:t>17.4%</w:t>
            </w:r>
          </w:p>
        </w:tc>
        <w:tc>
          <w:tcPr>
            <w:tcW w:w="1589" w:type="pct"/>
            <w:tcBorders>
              <w:top w:val="nil"/>
              <w:left w:val="nil"/>
              <w:bottom w:val="single" w:sz="8" w:space="0" w:color="auto"/>
              <w:right w:val="single" w:sz="8" w:space="0" w:color="auto"/>
            </w:tcBorders>
            <w:shd w:val="clear" w:color="000000" w:fill="BFBFBF"/>
            <w:noWrap/>
            <w:hideMark/>
          </w:tcPr>
          <w:p w14:paraId="633962A9" w14:textId="77777777" w:rsidR="00883EC4" w:rsidRPr="00445122" w:rsidRDefault="00883EC4" w:rsidP="00883EC4">
            <w:pPr>
              <w:spacing w:after="0" w:line="240" w:lineRule="auto"/>
              <w:jc w:val="center"/>
              <w:rPr>
                <w:rFonts w:eastAsia="Times New Roman" w:cs="Times New Roman"/>
                <w:color w:val="000000"/>
              </w:rPr>
            </w:pPr>
            <w:r w:rsidRPr="00356CAC">
              <w:t>5.6%</w:t>
            </w:r>
          </w:p>
        </w:tc>
      </w:tr>
      <w:tr w:rsidR="00883EC4" w:rsidRPr="00445122" w14:paraId="0AA6A93B" w14:textId="77777777" w:rsidTr="00922057">
        <w:trPr>
          <w:trHeight w:val="300"/>
          <w:jc w:val="center"/>
        </w:trPr>
        <w:tc>
          <w:tcPr>
            <w:tcW w:w="1706" w:type="pct"/>
            <w:shd w:val="clear" w:color="auto" w:fill="auto"/>
            <w:noWrap/>
            <w:hideMark/>
          </w:tcPr>
          <w:p w14:paraId="0909A368" w14:textId="77777777" w:rsidR="00883EC4" w:rsidRPr="00445122" w:rsidRDefault="00883EC4" w:rsidP="00883EC4">
            <w:pPr>
              <w:spacing w:after="0" w:line="240" w:lineRule="auto"/>
              <w:jc w:val="left"/>
              <w:rPr>
                <w:rFonts w:eastAsia="Times New Roman" w:cs="Arial"/>
                <w:color w:val="000000"/>
              </w:rPr>
            </w:pPr>
            <w:r w:rsidRPr="00356CAC">
              <w:t>Jalisco</w:t>
            </w:r>
          </w:p>
        </w:tc>
        <w:tc>
          <w:tcPr>
            <w:tcW w:w="1705" w:type="pct"/>
            <w:tcBorders>
              <w:top w:val="nil"/>
              <w:left w:val="single" w:sz="8" w:space="0" w:color="auto"/>
              <w:bottom w:val="single" w:sz="8" w:space="0" w:color="auto"/>
              <w:right w:val="single" w:sz="8" w:space="0" w:color="auto"/>
            </w:tcBorders>
            <w:shd w:val="clear" w:color="auto" w:fill="auto"/>
            <w:noWrap/>
            <w:hideMark/>
          </w:tcPr>
          <w:p w14:paraId="51CE8401" w14:textId="77777777" w:rsidR="00883EC4" w:rsidRPr="00445122" w:rsidRDefault="00883EC4" w:rsidP="00883EC4">
            <w:pPr>
              <w:spacing w:after="0" w:line="240" w:lineRule="auto"/>
              <w:jc w:val="center"/>
              <w:rPr>
                <w:rFonts w:eastAsia="Times New Roman" w:cs="Times New Roman"/>
                <w:color w:val="000000"/>
              </w:rPr>
            </w:pPr>
            <w:r w:rsidRPr="00356CAC">
              <w:t>36.4%</w:t>
            </w:r>
          </w:p>
        </w:tc>
        <w:tc>
          <w:tcPr>
            <w:tcW w:w="1589" w:type="pct"/>
            <w:tcBorders>
              <w:top w:val="nil"/>
              <w:left w:val="nil"/>
              <w:bottom w:val="single" w:sz="8" w:space="0" w:color="auto"/>
              <w:right w:val="single" w:sz="8" w:space="0" w:color="auto"/>
            </w:tcBorders>
            <w:shd w:val="clear" w:color="auto" w:fill="auto"/>
            <w:noWrap/>
            <w:hideMark/>
          </w:tcPr>
          <w:p w14:paraId="7AAAEF2E" w14:textId="77777777" w:rsidR="00883EC4" w:rsidRPr="00445122" w:rsidRDefault="00883EC4" w:rsidP="00883EC4">
            <w:pPr>
              <w:spacing w:after="0" w:line="240" w:lineRule="auto"/>
              <w:jc w:val="center"/>
              <w:rPr>
                <w:rFonts w:eastAsia="Times New Roman" w:cs="Times New Roman"/>
                <w:color w:val="000000"/>
              </w:rPr>
            </w:pPr>
            <w:r w:rsidRPr="00356CAC">
              <w:t>6.7%</w:t>
            </w:r>
          </w:p>
        </w:tc>
      </w:tr>
      <w:tr w:rsidR="00883EC4" w:rsidRPr="00445122" w14:paraId="38D7069E" w14:textId="77777777" w:rsidTr="00922057">
        <w:trPr>
          <w:trHeight w:val="300"/>
          <w:jc w:val="center"/>
        </w:trPr>
        <w:tc>
          <w:tcPr>
            <w:tcW w:w="1706" w:type="pct"/>
            <w:shd w:val="clear" w:color="auto" w:fill="auto"/>
            <w:noWrap/>
            <w:hideMark/>
          </w:tcPr>
          <w:p w14:paraId="36B6F71A" w14:textId="77777777" w:rsidR="00883EC4" w:rsidRPr="00445122" w:rsidRDefault="00883EC4" w:rsidP="00883EC4">
            <w:pPr>
              <w:spacing w:after="0" w:line="240" w:lineRule="auto"/>
              <w:jc w:val="left"/>
              <w:rPr>
                <w:rFonts w:eastAsia="Times New Roman" w:cs="Arial"/>
                <w:color w:val="000000"/>
              </w:rPr>
            </w:pPr>
            <w:r w:rsidRPr="00356CAC">
              <w:t>Guanajuato</w:t>
            </w:r>
          </w:p>
        </w:tc>
        <w:tc>
          <w:tcPr>
            <w:tcW w:w="1705" w:type="pct"/>
            <w:tcBorders>
              <w:top w:val="nil"/>
              <w:left w:val="single" w:sz="8" w:space="0" w:color="auto"/>
              <w:bottom w:val="single" w:sz="8" w:space="0" w:color="auto"/>
              <w:right w:val="single" w:sz="8" w:space="0" w:color="auto"/>
            </w:tcBorders>
            <w:shd w:val="clear" w:color="auto" w:fill="auto"/>
            <w:noWrap/>
            <w:hideMark/>
          </w:tcPr>
          <w:p w14:paraId="243282E7" w14:textId="77777777" w:rsidR="00883EC4" w:rsidRPr="00445122" w:rsidRDefault="00883EC4" w:rsidP="00883EC4">
            <w:pPr>
              <w:spacing w:after="0" w:line="240" w:lineRule="auto"/>
              <w:jc w:val="center"/>
              <w:rPr>
                <w:rFonts w:eastAsia="Times New Roman" w:cs="Times New Roman"/>
                <w:color w:val="000000"/>
              </w:rPr>
            </w:pPr>
            <w:r w:rsidRPr="00356CAC">
              <w:t>3.6%</w:t>
            </w:r>
          </w:p>
        </w:tc>
        <w:tc>
          <w:tcPr>
            <w:tcW w:w="1589" w:type="pct"/>
            <w:tcBorders>
              <w:top w:val="nil"/>
              <w:left w:val="nil"/>
              <w:bottom w:val="single" w:sz="8" w:space="0" w:color="auto"/>
              <w:right w:val="single" w:sz="8" w:space="0" w:color="auto"/>
            </w:tcBorders>
            <w:shd w:val="clear" w:color="auto" w:fill="auto"/>
            <w:noWrap/>
            <w:hideMark/>
          </w:tcPr>
          <w:p w14:paraId="40D4A552" w14:textId="77777777" w:rsidR="00883EC4" w:rsidRPr="00445122" w:rsidRDefault="00883EC4" w:rsidP="00883EC4">
            <w:pPr>
              <w:spacing w:after="0" w:line="240" w:lineRule="auto"/>
              <w:jc w:val="center"/>
              <w:rPr>
                <w:rFonts w:eastAsia="Times New Roman" w:cs="Times New Roman"/>
                <w:color w:val="000000"/>
              </w:rPr>
            </w:pPr>
            <w:r w:rsidRPr="00356CAC">
              <w:t>7.0%</w:t>
            </w:r>
          </w:p>
        </w:tc>
      </w:tr>
      <w:tr w:rsidR="00883EC4" w:rsidRPr="00445122" w14:paraId="365B9B23" w14:textId="77777777" w:rsidTr="00922057">
        <w:trPr>
          <w:trHeight w:val="300"/>
          <w:jc w:val="center"/>
        </w:trPr>
        <w:tc>
          <w:tcPr>
            <w:tcW w:w="1706" w:type="pct"/>
            <w:shd w:val="clear" w:color="auto" w:fill="auto"/>
            <w:noWrap/>
            <w:hideMark/>
          </w:tcPr>
          <w:p w14:paraId="2C25AE58" w14:textId="77777777" w:rsidR="00883EC4" w:rsidRPr="00445122" w:rsidRDefault="00883EC4" w:rsidP="00883EC4">
            <w:pPr>
              <w:spacing w:after="0" w:line="240" w:lineRule="auto"/>
              <w:jc w:val="left"/>
              <w:rPr>
                <w:rFonts w:eastAsia="Times New Roman" w:cs="Arial"/>
                <w:color w:val="000000"/>
              </w:rPr>
            </w:pPr>
            <w:r w:rsidRPr="00356CAC">
              <w:t>Hidalgo</w:t>
            </w:r>
          </w:p>
        </w:tc>
        <w:tc>
          <w:tcPr>
            <w:tcW w:w="1705" w:type="pct"/>
            <w:tcBorders>
              <w:top w:val="nil"/>
              <w:left w:val="single" w:sz="8" w:space="0" w:color="auto"/>
              <w:bottom w:val="single" w:sz="8" w:space="0" w:color="auto"/>
              <w:right w:val="single" w:sz="8" w:space="0" w:color="auto"/>
            </w:tcBorders>
            <w:shd w:val="clear" w:color="auto" w:fill="auto"/>
            <w:noWrap/>
            <w:hideMark/>
          </w:tcPr>
          <w:p w14:paraId="3C9E42BB" w14:textId="77777777" w:rsidR="00883EC4" w:rsidRPr="00445122" w:rsidRDefault="00883EC4" w:rsidP="00883EC4">
            <w:pPr>
              <w:spacing w:after="0" w:line="240" w:lineRule="auto"/>
              <w:jc w:val="center"/>
              <w:rPr>
                <w:rFonts w:eastAsia="Times New Roman" w:cs="Times New Roman"/>
                <w:color w:val="000000"/>
              </w:rPr>
            </w:pPr>
            <w:r w:rsidRPr="00356CAC">
              <w:t>7.2%</w:t>
            </w:r>
          </w:p>
        </w:tc>
        <w:tc>
          <w:tcPr>
            <w:tcW w:w="1589" w:type="pct"/>
            <w:tcBorders>
              <w:top w:val="nil"/>
              <w:left w:val="nil"/>
              <w:bottom w:val="single" w:sz="8" w:space="0" w:color="auto"/>
              <w:right w:val="single" w:sz="8" w:space="0" w:color="auto"/>
            </w:tcBorders>
            <w:shd w:val="clear" w:color="auto" w:fill="auto"/>
            <w:noWrap/>
            <w:hideMark/>
          </w:tcPr>
          <w:p w14:paraId="1E72D4D4" w14:textId="77777777" w:rsidR="00883EC4" w:rsidRPr="00445122" w:rsidRDefault="00883EC4" w:rsidP="00883EC4">
            <w:pPr>
              <w:spacing w:after="0" w:line="240" w:lineRule="auto"/>
              <w:jc w:val="center"/>
              <w:rPr>
                <w:rFonts w:eastAsia="Times New Roman" w:cs="Times New Roman"/>
                <w:color w:val="000000"/>
              </w:rPr>
            </w:pPr>
            <w:r w:rsidRPr="00356CAC">
              <w:t>9.5%</w:t>
            </w:r>
          </w:p>
        </w:tc>
      </w:tr>
      <w:tr w:rsidR="00883EC4" w:rsidRPr="00445122" w14:paraId="05D9793B" w14:textId="77777777" w:rsidTr="00922057">
        <w:trPr>
          <w:trHeight w:val="300"/>
          <w:jc w:val="center"/>
        </w:trPr>
        <w:tc>
          <w:tcPr>
            <w:tcW w:w="1706" w:type="pct"/>
            <w:shd w:val="clear" w:color="auto" w:fill="auto"/>
            <w:noWrap/>
            <w:hideMark/>
          </w:tcPr>
          <w:p w14:paraId="735B6A8C" w14:textId="77777777" w:rsidR="00883EC4" w:rsidRPr="00445122" w:rsidRDefault="00883EC4" w:rsidP="00883EC4">
            <w:pPr>
              <w:spacing w:after="0" w:line="240" w:lineRule="auto"/>
              <w:jc w:val="left"/>
              <w:rPr>
                <w:rFonts w:eastAsia="Times New Roman" w:cs="Arial"/>
                <w:color w:val="000000"/>
              </w:rPr>
            </w:pPr>
            <w:r w:rsidRPr="00356CAC">
              <w:t>San Luis Potosí</w:t>
            </w:r>
          </w:p>
        </w:tc>
        <w:tc>
          <w:tcPr>
            <w:tcW w:w="1705" w:type="pct"/>
            <w:tcBorders>
              <w:top w:val="nil"/>
              <w:left w:val="single" w:sz="8" w:space="0" w:color="auto"/>
              <w:bottom w:val="single" w:sz="8" w:space="0" w:color="auto"/>
              <w:right w:val="single" w:sz="8" w:space="0" w:color="auto"/>
            </w:tcBorders>
            <w:shd w:val="clear" w:color="auto" w:fill="auto"/>
            <w:noWrap/>
            <w:hideMark/>
          </w:tcPr>
          <w:p w14:paraId="15137F16" w14:textId="77777777" w:rsidR="00883EC4" w:rsidRPr="00445122" w:rsidRDefault="00883EC4" w:rsidP="00883EC4">
            <w:pPr>
              <w:spacing w:after="0" w:line="240" w:lineRule="auto"/>
              <w:jc w:val="center"/>
              <w:rPr>
                <w:rFonts w:eastAsia="Times New Roman" w:cs="Times New Roman"/>
                <w:color w:val="000000"/>
              </w:rPr>
            </w:pPr>
            <w:r w:rsidRPr="00356CAC">
              <w:t>38.3%</w:t>
            </w:r>
          </w:p>
        </w:tc>
        <w:tc>
          <w:tcPr>
            <w:tcW w:w="1589" w:type="pct"/>
            <w:tcBorders>
              <w:top w:val="nil"/>
              <w:left w:val="nil"/>
              <w:bottom w:val="single" w:sz="8" w:space="0" w:color="auto"/>
              <w:right w:val="single" w:sz="8" w:space="0" w:color="auto"/>
            </w:tcBorders>
            <w:shd w:val="clear" w:color="000000" w:fill="BFBFBF"/>
            <w:noWrap/>
            <w:hideMark/>
          </w:tcPr>
          <w:p w14:paraId="27FF3D25" w14:textId="77777777" w:rsidR="00883EC4" w:rsidRPr="00445122" w:rsidRDefault="00883EC4" w:rsidP="00883EC4">
            <w:pPr>
              <w:spacing w:after="0" w:line="240" w:lineRule="auto"/>
              <w:jc w:val="center"/>
              <w:rPr>
                <w:rFonts w:eastAsia="Times New Roman" w:cs="Times New Roman"/>
                <w:color w:val="000000"/>
              </w:rPr>
            </w:pPr>
            <w:r w:rsidRPr="00356CAC">
              <w:t>10.8%</w:t>
            </w:r>
          </w:p>
        </w:tc>
      </w:tr>
      <w:tr w:rsidR="00883EC4" w:rsidRPr="00445122" w14:paraId="55A41FCB" w14:textId="77777777" w:rsidTr="00922057">
        <w:trPr>
          <w:trHeight w:val="300"/>
          <w:jc w:val="center"/>
        </w:trPr>
        <w:tc>
          <w:tcPr>
            <w:tcW w:w="1706" w:type="pct"/>
            <w:shd w:val="clear" w:color="auto" w:fill="auto"/>
            <w:noWrap/>
            <w:hideMark/>
          </w:tcPr>
          <w:p w14:paraId="030C762C" w14:textId="77777777" w:rsidR="00883EC4" w:rsidRPr="00445122" w:rsidRDefault="00883EC4" w:rsidP="00883EC4">
            <w:pPr>
              <w:spacing w:after="0" w:line="240" w:lineRule="auto"/>
              <w:jc w:val="left"/>
              <w:rPr>
                <w:rFonts w:eastAsia="Times New Roman" w:cs="Arial"/>
                <w:color w:val="000000"/>
              </w:rPr>
            </w:pPr>
            <w:r w:rsidRPr="00356CAC">
              <w:t>Tamaulipas</w:t>
            </w:r>
          </w:p>
        </w:tc>
        <w:tc>
          <w:tcPr>
            <w:tcW w:w="1705" w:type="pct"/>
            <w:tcBorders>
              <w:top w:val="nil"/>
              <w:left w:val="single" w:sz="8" w:space="0" w:color="auto"/>
              <w:bottom w:val="single" w:sz="8" w:space="0" w:color="auto"/>
              <w:right w:val="single" w:sz="8" w:space="0" w:color="auto"/>
            </w:tcBorders>
            <w:shd w:val="clear" w:color="auto" w:fill="auto"/>
            <w:noWrap/>
            <w:hideMark/>
          </w:tcPr>
          <w:p w14:paraId="101E3022" w14:textId="77777777" w:rsidR="00883EC4" w:rsidRPr="00445122" w:rsidRDefault="00883EC4" w:rsidP="00883EC4">
            <w:pPr>
              <w:spacing w:after="0" w:line="240" w:lineRule="auto"/>
              <w:jc w:val="center"/>
              <w:rPr>
                <w:rFonts w:eastAsia="Times New Roman" w:cs="Times New Roman"/>
                <w:color w:val="000000"/>
              </w:rPr>
            </w:pPr>
            <w:r w:rsidRPr="00356CAC">
              <w:t>32.0%</w:t>
            </w:r>
          </w:p>
        </w:tc>
        <w:tc>
          <w:tcPr>
            <w:tcW w:w="1589" w:type="pct"/>
            <w:tcBorders>
              <w:top w:val="nil"/>
              <w:left w:val="nil"/>
              <w:bottom w:val="single" w:sz="8" w:space="0" w:color="auto"/>
              <w:right w:val="single" w:sz="8" w:space="0" w:color="auto"/>
            </w:tcBorders>
            <w:shd w:val="clear" w:color="auto" w:fill="auto"/>
            <w:noWrap/>
            <w:hideMark/>
          </w:tcPr>
          <w:p w14:paraId="71293A07" w14:textId="77777777" w:rsidR="00883EC4" w:rsidRPr="00445122" w:rsidRDefault="00883EC4" w:rsidP="00883EC4">
            <w:pPr>
              <w:spacing w:after="0" w:line="240" w:lineRule="auto"/>
              <w:jc w:val="center"/>
              <w:rPr>
                <w:rFonts w:eastAsia="Times New Roman" w:cs="Times New Roman"/>
                <w:color w:val="000000"/>
              </w:rPr>
            </w:pPr>
            <w:r w:rsidRPr="00356CAC">
              <w:t>15.2%</w:t>
            </w:r>
          </w:p>
        </w:tc>
      </w:tr>
      <w:tr w:rsidR="00883EC4" w:rsidRPr="00445122" w14:paraId="13285914" w14:textId="77777777" w:rsidTr="00922057">
        <w:trPr>
          <w:trHeight w:val="300"/>
          <w:jc w:val="center"/>
        </w:trPr>
        <w:tc>
          <w:tcPr>
            <w:tcW w:w="1706" w:type="pct"/>
            <w:shd w:val="clear" w:color="auto" w:fill="auto"/>
            <w:noWrap/>
            <w:hideMark/>
          </w:tcPr>
          <w:p w14:paraId="14649553" w14:textId="77777777" w:rsidR="00883EC4" w:rsidRPr="00445122" w:rsidRDefault="00883EC4" w:rsidP="00883EC4">
            <w:pPr>
              <w:spacing w:after="0" w:line="240" w:lineRule="auto"/>
              <w:jc w:val="left"/>
              <w:rPr>
                <w:rFonts w:eastAsia="Times New Roman" w:cs="Arial"/>
                <w:color w:val="000000"/>
              </w:rPr>
            </w:pPr>
            <w:r w:rsidRPr="00356CAC">
              <w:t>Sinaloa</w:t>
            </w:r>
          </w:p>
        </w:tc>
        <w:tc>
          <w:tcPr>
            <w:tcW w:w="1705" w:type="pct"/>
            <w:tcBorders>
              <w:top w:val="nil"/>
              <w:left w:val="single" w:sz="8" w:space="0" w:color="auto"/>
              <w:bottom w:val="single" w:sz="8" w:space="0" w:color="auto"/>
              <w:right w:val="single" w:sz="8" w:space="0" w:color="auto"/>
            </w:tcBorders>
            <w:shd w:val="clear" w:color="auto" w:fill="auto"/>
            <w:noWrap/>
            <w:hideMark/>
          </w:tcPr>
          <w:p w14:paraId="71C15E2D" w14:textId="77777777" w:rsidR="00883EC4" w:rsidRPr="00445122" w:rsidRDefault="00883EC4" w:rsidP="00883EC4">
            <w:pPr>
              <w:spacing w:after="0" w:line="240" w:lineRule="auto"/>
              <w:jc w:val="center"/>
              <w:rPr>
                <w:rFonts w:eastAsia="Times New Roman" w:cs="Times New Roman"/>
                <w:color w:val="000000"/>
              </w:rPr>
            </w:pPr>
            <w:r w:rsidRPr="00356CAC">
              <w:t>50.0%</w:t>
            </w:r>
          </w:p>
        </w:tc>
        <w:tc>
          <w:tcPr>
            <w:tcW w:w="1589" w:type="pct"/>
            <w:tcBorders>
              <w:top w:val="nil"/>
              <w:left w:val="nil"/>
              <w:bottom w:val="single" w:sz="8" w:space="0" w:color="auto"/>
              <w:right w:val="single" w:sz="8" w:space="0" w:color="auto"/>
            </w:tcBorders>
            <w:shd w:val="clear" w:color="auto" w:fill="auto"/>
            <w:noWrap/>
            <w:hideMark/>
          </w:tcPr>
          <w:p w14:paraId="2246DA10" w14:textId="77777777" w:rsidR="00883EC4" w:rsidRPr="00445122" w:rsidRDefault="00883EC4" w:rsidP="00883EC4">
            <w:pPr>
              <w:spacing w:after="0" w:line="240" w:lineRule="auto"/>
              <w:jc w:val="center"/>
              <w:rPr>
                <w:rFonts w:eastAsia="Times New Roman" w:cs="Times New Roman"/>
                <w:color w:val="000000"/>
              </w:rPr>
            </w:pPr>
            <w:r w:rsidRPr="00356CAC">
              <w:t>15.7%</w:t>
            </w:r>
          </w:p>
        </w:tc>
      </w:tr>
      <w:tr w:rsidR="00883EC4" w:rsidRPr="00445122" w14:paraId="3C5F5802" w14:textId="77777777" w:rsidTr="00922057">
        <w:trPr>
          <w:trHeight w:val="300"/>
          <w:jc w:val="center"/>
        </w:trPr>
        <w:tc>
          <w:tcPr>
            <w:tcW w:w="1706" w:type="pct"/>
            <w:shd w:val="clear" w:color="auto" w:fill="auto"/>
            <w:noWrap/>
            <w:hideMark/>
          </w:tcPr>
          <w:p w14:paraId="0DEE0FC3" w14:textId="77777777" w:rsidR="00883EC4" w:rsidRPr="00445122" w:rsidRDefault="00883EC4" w:rsidP="00883EC4">
            <w:pPr>
              <w:spacing w:after="0" w:line="240" w:lineRule="auto"/>
              <w:jc w:val="left"/>
              <w:rPr>
                <w:rFonts w:eastAsia="Times New Roman" w:cs="Arial"/>
                <w:color w:val="000000"/>
              </w:rPr>
            </w:pPr>
            <w:r>
              <w:t>Ciudad de México</w:t>
            </w:r>
          </w:p>
        </w:tc>
        <w:tc>
          <w:tcPr>
            <w:tcW w:w="1705" w:type="pct"/>
            <w:tcBorders>
              <w:top w:val="nil"/>
              <w:left w:val="single" w:sz="8" w:space="0" w:color="auto"/>
              <w:bottom w:val="single" w:sz="8" w:space="0" w:color="auto"/>
              <w:right w:val="single" w:sz="8" w:space="0" w:color="auto"/>
            </w:tcBorders>
            <w:shd w:val="clear" w:color="auto" w:fill="auto"/>
            <w:noWrap/>
            <w:hideMark/>
          </w:tcPr>
          <w:p w14:paraId="00DF67DD" w14:textId="77777777" w:rsidR="00883EC4" w:rsidRPr="00445122" w:rsidRDefault="00883EC4" w:rsidP="00883EC4">
            <w:pPr>
              <w:spacing w:after="0" w:line="240" w:lineRule="auto"/>
              <w:jc w:val="center"/>
              <w:rPr>
                <w:rFonts w:eastAsia="Times New Roman" w:cs="Times New Roman"/>
                <w:color w:val="000000"/>
              </w:rPr>
            </w:pPr>
            <w:r w:rsidRPr="00356CAC">
              <w:t>0.0%</w:t>
            </w:r>
          </w:p>
        </w:tc>
        <w:tc>
          <w:tcPr>
            <w:tcW w:w="1589" w:type="pct"/>
            <w:tcBorders>
              <w:top w:val="nil"/>
              <w:left w:val="nil"/>
              <w:bottom w:val="single" w:sz="8" w:space="0" w:color="auto"/>
              <w:right w:val="single" w:sz="8" w:space="0" w:color="auto"/>
            </w:tcBorders>
            <w:shd w:val="clear" w:color="auto" w:fill="auto"/>
            <w:noWrap/>
            <w:hideMark/>
          </w:tcPr>
          <w:p w14:paraId="15A0295B" w14:textId="77777777" w:rsidR="00883EC4" w:rsidRPr="00445122" w:rsidRDefault="00883EC4" w:rsidP="00883EC4">
            <w:pPr>
              <w:spacing w:after="0" w:line="240" w:lineRule="auto"/>
              <w:jc w:val="center"/>
              <w:rPr>
                <w:rFonts w:eastAsia="Times New Roman" w:cs="Times New Roman"/>
                <w:color w:val="000000"/>
              </w:rPr>
            </w:pPr>
            <w:r w:rsidRPr="00356CAC">
              <w:t>15.9%</w:t>
            </w:r>
          </w:p>
        </w:tc>
      </w:tr>
      <w:tr w:rsidR="00883EC4" w:rsidRPr="00445122" w14:paraId="22869AF2" w14:textId="77777777" w:rsidTr="00922057">
        <w:trPr>
          <w:trHeight w:val="300"/>
          <w:jc w:val="center"/>
        </w:trPr>
        <w:tc>
          <w:tcPr>
            <w:tcW w:w="1706" w:type="pct"/>
            <w:shd w:val="clear" w:color="auto" w:fill="auto"/>
            <w:noWrap/>
            <w:hideMark/>
          </w:tcPr>
          <w:p w14:paraId="30C022CD" w14:textId="77777777" w:rsidR="00883EC4" w:rsidRPr="00445122" w:rsidRDefault="00883EC4" w:rsidP="00883EC4">
            <w:pPr>
              <w:spacing w:after="0" w:line="240" w:lineRule="auto"/>
              <w:jc w:val="left"/>
              <w:rPr>
                <w:rFonts w:eastAsia="Times New Roman" w:cs="Arial"/>
                <w:color w:val="000000"/>
              </w:rPr>
            </w:pPr>
            <w:r w:rsidRPr="00356CAC">
              <w:t>Morelos</w:t>
            </w:r>
          </w:p>
        </w:tc>
        <w:tc>
          <w:tcPr>
            <w:tcW w:w="1705" w:type="pct"/>
            <w:tcBorders>
              <w:top w:val="nil"/>
              <w:left w:val="single" w:sz="8" w:space="0" w:color="auto"/>
              <w:bottom w:val="single" w:sz="8" w:space="0" w:color="auto"/>
              <w:right w:val="single" w:sz="8" w:space="0" w:color="auto"/>
            </w:tcBorders>
            <w:shd w:val="clear" w:color="auto" w:fill="auto"/>
            <w:noWrap/>
            <w:hideMark/>
          </w:tcPr>
          <w:p w14:paraId="5603DB01" w14:textId="77777777" w:rsidR="00883EC4" w:rsidRPr="00445122" w:rsidRDefault="00883EC4" w:rsidP="00883EC4">
            <w:pPr>
              <w:spacing w:after="0" w:line="240" w:lineRule="auto"/>
              <w:jc w:val="center"/>
              <w:rPr>
                <w:rFonts w:eastAsia="Times New Roman" w:cs="Times New Roman"/>
                <w:color w:val="000000"/>
              </w:rPr>
            </w:pPr>
            <w:r w:rsidRPr="00356CAC">
              <w:t>0.0%</w:t>
            </w:r>
          </w:p>
        </w:tc>
        <w:tc>
          <w:tcPr>
            <w:tcW w:w="1589" w:type="pct"/>
            <w:tcBorders>
              <w:top w:val="nil"/>
              <w:left w:val="nil"/>
              <w:bottom w:val="single" w:sz="8" w:space="0" w:color="auto"/>
              <w:right w:val="single" w:sz="8" w:space="0" w:color="auto"/>
            </w:tcBorders>
            <w:shd w:val="clear" w:color="000000" w:fill="BFBFBF"/>
            <w:noWrap/>
            <w:hideMark/>
          </w:tcPr>
          <w:p w14:paraId="6CF5889B" w14:textId="77777777" w:rsidR="00883EC4" w:rsidRPr="00445122" w:rsidRDefault="00883EC4" w:rsidP="00883EC4">
            <w:pPr>
              <w:spacing w:after="0" w:line="240" w:lineRule="auto"/>
              <w:jc w:val="center"/>
              <w:rPr>
                <w:rFonts w:eastAsia="Times New Roman" w:cs="Times New Roman"/>
                <w:color w:val="000000"/>
              </w:rPr>
            </w:pPr>
            <w:r w:rsidRPr="00356CAC">
              <w:t>19.2%</w:t>
            </w:r>
          </w:p>
        </w:tc>
      </w:tr>
      <w:tr w:rsidR="00883EC4" w:rsidRPr="00445122" w14:paraId="3EA558C9" w14:textId="77777777" w:rsidTr="00922057">
        <w:trPr>
          <w:trHeight w:val="300"/>
          <w:jc w:val="center"/>
        </w:trPr>
        <w:tc>
          <w:tcPr>
            <w:tcW w:w="1706" w:type="pct"/>
            <w:shd w:val="clear" w:color="auto" w:fill="auto"/>
            <w:noWrap/>
            <w:hideMark/>
          </w:tcPr>
          <w:p w14:paraId="20F2FA7A" w14:textId="77777777" w:rsidR="00883EC4" w:rsidRPr="00445122" w:rsidRDefault="00883EC4" w:rsidP="00883EC4">
            <w:pPr>
              <w:spacing w:after="0" w:line="240" w:lineRule="auto"/>
              <w:jc w:val="left"/>
              <w:rPr>
                <w:rFonts w:eastAsia="Times New Roman" w:cs="Arial"/>
                <w:color w:val="000000"/>
              </w:rPr>
            </w:pPr>
            <w:r w:rsidRPr="00356CAC">
              <w:t>Tlaxcala</w:t>
            </w:r>
          </w:p>
        </w:tc>
        <w:tc>
          <w:tcPr>
            <w:tcW w:w="1705" w:type="pct"/>
            <w:tcBorders>
              <w:top w:val="nil"/>
              <w:left w:val="single" w:sz="8" w:space="0" w:color="auto"/>
              <w:bottom w:val="single" w:sz="8" w:space="0" w:color="auto"/>
              <w:right w:val="single" w:sz="8" w:space="0" w:color="auto"/>
            </w:tcBorders>
            <w:shd w:val="clear" w:color="auto" w:fill="auto"/>
            <w:noWrap/>
            <w:hideMark/>
          </w:tcPr>
          <w:p w14:paraId="247FD584" w14:textId="77777777" w:rsidR="00883EC4" w:rsidRPr="00445122" w:rsidRDefault="00883EC4" w:rsidP="00883EC4">
            <w:pPr>
              <w:spacing w:after="0" w:line="240" w:lineRule="auto"/>
              <w:jc w:val="center"/>
              <w:rPr>
                <w:rFonts w:eastAsia="Times New Roman" w:cs="Times New Roman"/>
                <w:color w:val="000000"/>
              </w:rPr>
            </w:pPr>
            <w:r w:rsidRPr="00356CAC">
              <w:t>7.5%</w:t>
            </w:r>
          </w:p>
        </w:tc>
        <w:tc>
          <w:tcPr>
            <w:tcW w:w="1589" w:type="pct"/>
            <w:tcBorders>
              <w:top w:val="nil"/>
              <w:left w:val="nil"/>
              <w:bottom w:val="single" w:sz="8" w:space="0" w:color="auto"/>
              <w:right w:val="single" w:sz="8" w:space="0" w:color="auto"/>
            </w:tcBorders>
            <w:shd w:val="clear" w:color="auto" w:fill="auto"/>
            <w:noWrap/>
            <w:hideMark/>
          </w:tcPr>
          <w:p w14:paraId="572EEF76" w14:textId="77777777" w:rsidR="00883EC4" w:rsidRPr="00445122" w:rsidRDefault="00883EC4" w:rsidP="00883EC4">
            <w:pPr>
              <w:spacing w:after="0" w:line="240" w:lineRule="auto"/>
              <w:jc w:val="center"/>
              <w:rPr>
                <w:rFonts w:eastAsia="Times New Roman" w:cs="Times New Roman"/>
                <w:color w:val="000000"/>
              </w:rPr>
            </w:pPr>
            <w:r w:rsidRPr="00356CAC">
              <w:t>19.3%</w:t>
            </w:r>
          </w:p>
        </w:tc>
      </w:tr>
      <w:tr w:rsidR="00883EC4" w:rsidRPr="00445122" w14:paraId="13D93114" w14:textId="77777777" w:rsidTr="00922057">
        <w:trPr>
          <w:trHeight w:val="300"/>
          <w:jc w:val="center"/>
        </w:trPr>
        <w:tc>
          <w:tcPr>
            <w:tcW w:w="1706" w:type="pct"/>
            <w:shd w:val="clear" w:color="auto" w:fill="auto"/>
            <w:noWrap/>
            <w:hideMark/>
          </w:tcPr>
          <w:p w14:paraId="684BE578" w14:textId="77777777" w:rsidR="00883EC4" w:rsidRPr="00445122" w:rsidRDefault="00883EC4" w:rsidP="00883EC4">
            <w:pPr>
              <w:spacing w:after="0" w:line="240" w:lineRule="auto"/>
              <w:jc w:val="left"/>
              <w:rPr>
                <w:rFonts w:eastAsia="Times New Roman" w:cs="Arial"/>
                <w:color w:val="000000"/>
              </w:rPr>
            </w:pPr>
            <w:r w:rsidRPr="00356CAC">
              <w:t>Puebla</w:t>
            </w:r>
          </w:p>
        </w:tc>
        <w:tc>
          <w:tcPr>
            <w:tcW w:w="1705" w:type="pct"/>
            <w:tcBorders>
              <w:top w:val="nil"/>
              <w:left w:val="single" w:sz="8" w:space="0" w:color="auto"/>
              <w:bottom w:val="single" w:sz="8" w:space="0" w:color="auto"/>
              <w:right w:val="single" w:sz="8" w:space="0" w:color="auto"/>
            </w:tcBorders>
            <w:shd w:val="clear" w:color="auto" w:fill="auto"/>
            <w:noWrap/>
            <w:hideMark/>
          </w:tcPr>
          <w:p w14:paraId="42AF0D40" w14:textId="77777777" w:rsidR="00883EC4" w:rsidRPr="00445122" w:rsidRDefault="00883EC4" w:rsidP="00883EC4">
            <w:pPr>
              <w:spacing w:after="0" w:line="240" w:lineRule="auto"/>
              <w:jc w:val="center"/>
              <w:rPr>
                <w:rFonts w:eastAsia="Times New Roman" w:cs="Times New Roman"/>
                <w:color w:val="000000"/>
              </w:rPr>
            </w:pPr>
            <w:r w:rsidRPr="00356CAC">
              <w:t>22.7%</w:t>
            </w:r>
          </w:p>
        </w:tc>
        <w:tc>
          <w:tcPr>
            <w:tcW w:w="1589" w:type="pct"/>
            <w:tcBorders>
              <w:top w:val="nil"/>
              <w:left w:val="nil"/>
              <w:bottom w:val="single" w:sz="8" w:space="0" w:color="auto"/>
              <w:right w:val="single" w:sz="8" w:space="0" w:color="auto"/>
            </w:tcBorders>
            <w:shd w:val="clear" w:color="auto" w:fill="auto"/>
            <w:noWrap/>
            <w:hideMark/>
          </w:tcPr>
          <w:p w14:paraId="509C363A" w14:textId="77777777" w:rsidR="00883EC4" w:rsidRPr="00445122" w:rsidRDefault="00883EC4" w:rsidP="00883EC4">
            <w:pPr>
              <w:spacing w:after="0" w:line="240" w:lineRule="auto"/>
              <w:jc w:val="center"/>
              <w:rPr>
                <w:rFonts w:eastAsia="Times New Roman" w:cs="Times New Roman"/>
                <w:color w:val="000000"/>
              </w:rPr>
            </w:pPr>
            <w:r w:rsidRPr="00356CAC">
              <w:t>20.4%</w:t>
            </w:r>
          </w:p>
        </w:tc>
      </w:tr>
      <w:tr w:rsidR="00883EC4" w:rsidRPr="00445122" w14:paraId="70302723" w14:textId="77777777" w:rsidTr="00922057">
        <w:trPr>
          <w:trHeight w:val="300"/>
          <w:jc w:val="center"/>
        </w:trPr>
        <w:tc>
          <w:tcPr>
            <w:tcW w:w="1706" w:type="pct"/>
            <w:shd w:val="clear" w:color="auto" w:fill="auto"/>
            <w:noWrap/>
            <w:hideMark/>
          </w:tcPr>
          <w:p w14:paraId="0E3C9639" w14:textId="77777777" w:rsidR="00883EC4" w:rsidRPr="00445122" w:rsidRDefault="00883EC4" w:rsidP="00883EC4">
            <w:pPr>
              <w:spacing w:after="0" w:line="240" w:lineRule="auto"/>
              <w:jc w:val="left"/>
              <w:rPr>
                <w:rFonts w:eastAsia="Times New Roman" w:cs="Arial"/>
                <w:color w:val="000000"/>
              </w:rPr>
            </w:pPr>
            <w:r w:rsidRPr="00356CAC">
              <w:t>Tabasco</w:t>
            </w:r>
          </w:p>
        </w:tc>
        <w:tc>
          <w:tcPr>
            <w:tcW w:w="1705" w:type="pct"/>
            <w:tcBorders>
              <w:top w:val="nil"/>
              <w:left w:val="single" w:sz="8" w:space="0" w:color="auto"/>
              <w:bottom w:val="single" w:sz="8" w:space="0" w:color="auto"/>
              <w:right w:val="single" w:sz="8" w:space="0" w:color="auto"/>
            </w:tcBorders>
            <w:shd w:val="clear" w:color="auto" w:fill="auto"/>
            <w:noWrap/>
            <w:hideMark/>
          </w:tcPr>
          <w:p w14:paraId="455BC6E6" w14:textId="77777777" w:rsidR="00883EC4" w:rsidRPr="00445122" w:rsidRDefault="00883EC4" w:rsidP="00883EC4">
            <w:pPr>
              <w:spacing w:after="0" w:line="240" w:lineRule="auto"/>
              <w:jc w:val="center"/>
              <w:rPr>
                <w:rFonts w:eastAsia="Times New Roman" w:cs="Times New Roman"/>
                <w:color w:val="000000"/>
              </w:rPr>
            </w:pPr>
            <w:r w:rsidRPr="00356CAC">
              <w:t>0.0%</w:t>
            </w:r>
          </w:p>
        </w:tc>
        <w:tc>
          <w:tcPr>
            <w:tcW w:w="1589" w:type="pct"/>
            <w:tcBorders>
              <w:top w:val="nil"/>
              <w:left w:val="nil"/>
              <w:bottom w:val="single" w:sz="8" w:space="0" w:color="auto"/>
              <w:right w:val="single" w:sz="8" w:space="0" w:color="auto"/>
            </w:tcBorders>
            <w:shd w:val="clear" w:color="000000" w:fill="BFBFBF"/>
            <w:noWrap/>
            <w:hideMark/>
          </w:tcPr>
          <w:p w14:paraId="6CEA3640" w14:textId="77777777" w:rsidR="00883EC4" w:rsidRPr="00445122" w:rsidRDefault="00883EC4" w:rsidP="00883EC4">
            <w:pPr>
              <w:spacing w:after="0" w:line="240" w:lineRule="auto"/>
              <w:jc w:val="center"/>
              <w:rPr>
                <w:rFonts w:eastAsia="Times New Roman" w:cs="Times New Roman"/>
                <w:color w:val="000000"/>
              </w:rPr>
            </w:pPr>
            <w:r w:rsidRPr="00356CAC">
              <w:t>22.4%</w:t>
            </w:r>
          </w:p>
        </w:tc>
      </w:tr>
      <w:tr w:rsidR="00883EC4" w:rsidRPr="00445122" w14:paraId="61F76FD1" w14:textId="77777777" w:rsidTr="00922057">
        <w:trPr>
          <w:trHeight w:val="300"/>
          <w:jc w:val="center"/>
        </w:trPr>
        <w:tc>
          <w:tcPr>
            <w:tcW w:w="1706" w:type="pct"/>
            <w:shd w:val="clear" w:color="auto" w:fill="auto"/>
            <w:noWrap/>
            <w:hideMark/>
          </w:tcPr>
          <w:p w14:paraId="025A6D85" w14:textId="77777777" w:rsidR="00883EC4" w:rsidRPr="00445122" w:rsidRDefault="00883EC4" w:rsidP="00883EC4">
            <w:pPr>
              <w:spacing w:after="0" w:line="240" w:lineRule="auto"/>
              <w:jc w:val="left"/>
              <w:rPr>
                <w:rFonts w:eastAsia="Times New Roman" w:cs="Arial"/>
                <w:color w:val="000000"/>
              </w:rPr>
            </w:pPr>
            <w:r w:rsidRPr="00356CAC">
              <w:t>Chiapas</w:t>
            </w:r>
          </w:p>
        </w:tc>
        <w:tc>
          <w:tcPr>
            <w:tcW w:w="1705" w:type="pct"/>
            <w:tcBorders>
              <w:top w:val="nil"/>
              <w:left w:val="single" w:sz="8" w:space="0" w:color="auto"/>
              <w:bottom w:val="single" w:sz="8" w:space="0" w:color="auto"/>
              <w:right w:val="single" w:sz="8" w:space="0" w:color="auto"/>
            </w:tcBorders>
            <w:shd w:val="clear" w:color="auto" w:fill="auto"/>
            <w:noWrap/>
            <w:hideMark/>
          </w:tcPr>
          <w:p w14:paraId="622827E9" w14:textId="77777777" w:rsidR="00883EC4" w:rsidRPr="00445122" w:rsidRDefault="00883EC4" w:rsidP="00883EC4">
            <w:pPr>
              <w:spacing w:after="0" w:line="240" w:lineRule="auto"/>
              <w:jc w:val="center"/>
              <w:rPr>
                <w:rFonts w:eastAsia="Times New Roman" w:cs="Times New Roman"/>
                <w:color w:val="000000"/>
              </w:rPr>
            </w:pPr>
            <w:r w:rsidRPr="00356CAC">
              <w:t>7.7%</w:t>
            </w:r>
          </w:p>
        </w:tc>
        <w:tc>
          <w:tcPr>
            <w:tcW w:w="1589" w:type="pct"/>
            <w:tcBorders>
              <w:top w:val="nil"/>
              <w:left w:val="nil"/>
              <w:bottom w:val="single" w:sz="8" w:space="0" w:color="auto"/>
              <w:right w:val="single" w:sz="8" w:space="0" w:color="auto"/>
            </w:tcBorders>
            <w:shd w:val="clear" w:color="auto" w:fill="auto"/>
            <w:noWrap/>
            <w:hideMark/>
          </w:tcPr>
          <w:p w14:paraId="398FF003" w14:textId="77777777" w:rsidR="00883EC4" w:rsidRPr="00445122" w:rsidRDefault="00883EC4" w:rsidP="00883EC4">
            <w:pPr>
              <w:spacing w:after="0" w:line="240" w:lineRule="auto"/>
              <w:jc w:val="center"/>
              <w:rPr>
                <w:rFonts w:eastAsia="Times New Roman" w:cs="Times New Roman"/>
                <w:color w:val="000000"/>
              </w:rPr>
            </w:pPr>
            <w:r w:rsidRPr="00356CAC">
              <w:t>23.2%</w:t>
            </w:r>
          </w:p>
        </w:tc>
      </w:tr>
      <w:tr w:rsidR="00883EC4" w:rsidRPr="00445122" w14:paraId="0B779540" w14:textId="77777777" w:rsidTr="00922057">
        <w:trPr>
          <w:trHeight w:val="300"/>
          <w:jc w:val="center"/>
        </w:trPr>
        <w:tc>
          <w:tcPr>
            <w:tcW w:w="1706" w:type="pct"/>
            <w:shd w:val="clear" w:color="auto" w:fill="auto"/>
            <w:noWrap/>
            <w:hideMark/>
          </w:tcPr>
          <w:p w14:paraId="6C897EC3" w14:textId="77777777" w:rsidR="00883EC4" w:rsidRPr="00445122" w:rsidRDefault="00883EC4" w:rsidP="00883EC4">
            <w:pPr>
              <w:spacing w:after="0" w:line="240" w:lineRule="auto"/>
              <w:jc w:val="left"/>
              <w:rPr>
                <w:rFonts w:eastAsia="Times New Roman" w:cs="Arial"/>
                <w:color w:val="000000"/>
              </w:rPr>
            </w:pPr>
            <w:r w:rsidRPr="00356CAC">
              <w:t>Guerrero</w:t>
            </w:r>
          </w:p>
        </w:tc>
        <w:tc>
          <w:tcPr>
            <w:tcW w:w="1705" w:type="pct"/>
            <w:tcBorders>
              <w:top w:val="nil"/>
              <w:left w:val="single" w:sz="8" w:space="0" w:color="auto"/>
              <w:bottom w:val="single" w:sz="8" w:space="0" w:color="auto"/>
              <w:right w:val="single" w:sz="8" w:space="0" w:color="auto"/>
            </w:tcBorders>
            <w:shd w:val="clear" w:color="auto" w:fill="auto"/>
            <w:noWrap/>
            <w:hideMark/>
          </w:tcPr>
          <w:p w14:paraId="71D0F6DF" w14:textId="77777777" w:rsidR="00883EC4" w:rsidRPr="00445122" w:rsidRDefault="00883EC4" w:rsidP="00883EC4">
            <w:pPr>
              <w:spacing w:after="0" w:line="240" w:lineRule="auto"/>
              <w:jc w:val="center"/>
              <w:rPr>
                <w:rFonts w:eastAsia="Times New Roman" w:cs="Times New Roman"/>
                <w:color w:val="000000"/>
              </w:rPr>
            </w:pPr>
            <w:r w:rsidRPr="00356CAC">
              <w:t>12.5%</w:t>
            </w:r>
          </w:p>
        </w:tc>
        <w:tc>
          <w:tcPr>
            <w:tcW w:w="1589" w:type="pct"/>
            <w:tcBorders>
              <w:top w:val="nil"/>
              <w:left w:val="nil"/>
              <w:bottom w:val="single" w:sz="8" w:space="0" w:color="auto"/>
              <w:right w:val="single" w:sz="8" w:space="0" w:color="auto"/>
            </w:tcBorders>
            <w:shd w:val="clear" w:color="auto" w:fill="auto"/>
            <w:noWrap/>
            <w:hideMark/>
          </w:tcPr>
          <w:p w14:paraId="789BC8E9" w14:textId="77777777" w:rsidR="00883EC4" w:rsidRPr="00445122" w:rsidRDefault="00883EC4" w:rsidP="00883EC4">
            <w:pPr>
              <w:spacing w:after="0" w:line="240" w:lineRule="auto"/>
              <w:jc w:val="center"/>
              <w:rPr>
                <w:rFonts w:eastAsia="Times New Roman" w:cs="Times New Roman"/>
                <w:color w:val="000000"/>
              </w:rPr>
            </w:pPr>
            <w:r w:rsidRPr="00356CAC">
              <w:t>29.6%</w:t>
            </w:r>
          </w:p>
        </w:tc>
      </w:tr>
      <w:tr w:rsidR="00883EC4" w:rsidRPr="00445122" w14:paraId="100FBCDF" w14:textId="77777777" w:rsidTr="00922057">
        <w:trPr>
          <w:trHeight w:val="300"/>
          <w:jc w:val="center"/>
        </w:trPr>
        <w:tc>
          <w:tcPr>
            <w:tcW w:w="1706" w:type="pct"/>
            <w:shd w:val="clear" w:color="auto" w:fill="auto"/>
            <w:noWrap/>
            <w:hideMark/>
          </w:tcPr>
          <w:p w14:paraId="05A55C72" w14:textId="77777777" w:rsidR="00883EC4" w:rsidRPr="00445122" w:rsidRDefault="00883EC4" w:rsidP="00883EC4">
            <w:pPr>
              <w:spacing w:after="0" w:line="240" w:lineRule="auto"/>
              <w:jc w:val="left"/>
              <w:rPr>
                <w:rFonts w:eastAsia="Times New Roman" w:cs="Arial"/>
                <w:color w:val="000000"/>
              </w:rPr>
            </w:pPr>
            <w:r w:rsidRPr="00356CAC">
              <w:t>México</w:t>
            </w:r>
          </w:p>
        </w:tc>
        <w:tc>
          <w:tcPr>
            <w:tcW w:w="1705" w:type="pct"/>
            <w:tcBorders>
              <w:top w:val="nil"/>
              <w:left w:val="single" w:sz="8" w:space="0" w:color="auto"/>
              <w:bottom w:val="single" w:sz="8" w:space="0" w:color="auto"/>
              <w:right w:val="single" w:sz="8" w:space="0" w:color="auto"/>
            </w:tcBorders>
            <w:shd w:val="clear" w:color="auto" w:fill="auto"/>
            <w:noWrap/>
            <w:hideMark/>
          </w:tcPr>
          <w:p w14:paraId="33D82AA0" w14:textId="77777777" w:rsidR="00883EC4" w:rsidRPr="00445122" w:rsidRDefault="00883EC4" w:rsidP="00883EC4">
            <w:pPr>
              <w:spacing w:after="0" w:line="240" w:lineRule="auto"/>
              <w:jc w:val="center"/>
              <w:rPr>
                <w:rFonts w:eastAsia="Times New Roman" w:cs="Times New Roman"/>
                <w:color w:val="000000"/>
              </w:rPr>
            </w:pPr>
            <w:r w:rsidRPr="00356CAC">
              <w:t>-5.1%</w:t>
            </w:r>
          </w:p>
        </w:tc>
        <w:tc>
          <w:tcPr>
            <w:tcW w:w="1589" w:type="pct"/>
            <w:tcBorders>
              <w:top w:val="nil"/>
              <w:left w:val="nil"/>
              <w:bottom w:val="single" w:sz="8" w:space="0" w:color="auto"/>
              <w:right w:val="single" w:sz="8" w:space="0" w:color="auto"/>
            </w:tcBorders>
            <w:shd w:val="clear" w:color="000000" w:fill="BFBFBF"/>
            <w:noWrap/>
            <w:hideMark/>
          </w:tcPr>
          <w:p w14:paraId="06E81239" w14:textId="77777777" w:rsidR="00883EC4" w:rsidRPr="00445122" w:rsidRDefault="00883EC4" w:rsidP="00883EC4">
            <w:pPr>
              <w:spacing w:after="0" w:line="240" w:lineRule="auto"/>
              <w:jc w:val="center"/>
              <w:rPr>
                <w:rFonts w:eastAsia="Times New Roman" w:cs="Times New Roman"/>
                <w:color w:val="000000"/>
              </w:rPr>
            </w:pPr>
            <w:r w:rsidRPr="00356CAC">
              <w:t>32.4%</w:t>
            </w:r>
          </w:p>
        </w:tc>
      </w:tr>
      <w:tr w:rsidR="00883EC4" w:rsidRPr="00445122" w14:paraId="33429D5A" w14:textId="77777777" w:rsidTr="00922057">
        <w:trPr>
          <w:trHeight w:val="300"/>
          <w:jc w:val="center"/>
        </w:trPr>
        <w:tc>
          <w:tcPr>
            <w:tcW w:w="1706" w:type="pct"/>
            <w:shd w:val="clear" w:color="auto" w:fill="auto"/>
            <w:noWrap/>
            <w:hideMark/>
          </w:tcPr>
          <w:p w14:paraId="46CD7846" w14:textId="77777777" w:rsidR="00883EC4" w:rsidRPr="00445122" w:rsidRDefault="00883EC4" w:rsidP="00883EC4">
            <w:pPr>
              <w:spacing w:after="0" w:line="240" w:lineRule="auto"/>
              <w:jc w:val="left"/>
              <w:rPr>
                <w:rFonts w:eastAsia="Times New Roman" w:cs="Arial"/>
                <w:color w:val="000000"/>
              </w:rPr>
            </w:pPr>
            <w:r w:rsidRPr="00356CAC">
              <w:t>Sonora</w:t>
            </w:r>
          </w:p>
        </w:tc>
        <w:tc>
          <w:tcPr>
            <w:tcW w:w="1705" w:type="pct"/>
            <w:tcBorders>
              <w:top w:val="nil"/>
              <w:left w:val="single" w:sz="8" w:space="0" w:color="auto"/>
              <w:bottom w:val="single" w:sz="8" w:space="0" w:color="auto"/>
              <w:right w:val="single" w:sz="8" w:space="0" w:color="auto"/>
            </w:tcBorders>
            <w:shd w:val="clear" w:color="auto" w:fill="auto"/>
            <w:noWrap/>
            <w:hideMark/>
          </w:tcPr>
          <w:p w14:paraId="538BF749" w14:textId="77777777" w:rsidR="00883EC4" w:rsidRPr="00445122" w:rsidRDefault="00883EC4" w:rsidP="00883EC4">
            <w:pPr>
              <w:spacing w:after="0" w:line="240" w:lineRule="auto"/>
              <w:jc w:val="center"/>
              <w:rPr>
                <w:rFonts w:eastAsia="Times New Roman" w:cs="Times New Roman"/>
                <w:color w:val="000000"/>
              </w:rPr>
            </w:pPr>
            <w:r w:rsidRPr="00356CAC">
              <w:t>14.3%</w:t>
            </w:r>
          </w:p>
        </w:tc>
        <w:tc>
          <w:tcPr>
            <w:tcW w:w="1589" w:type="pct"/>
            <w:tcBorders>
              <w:top w:val="nil"/>
              <w:left w:val="nil"/>
              <w:bottom w:val="single" w:sz="8" w:space="0" w:color="auto"/>
              <w:right w:val="single" w:sz="8" w:space="0" w:color="auto"/>
            </w:tcBorders>
            <w:shd w:val="clear" w:color="auto" w:fill="auto"/>
            <w:noWrap/>
            <w:hideMark/>
          </w:tcPr>
          <w:p w14:paraId="3B9A8DE7" w14:textId="77777777" w:rsidR="00883EC4" w:rsidRPr="00445122" w:rsidRDefault="00883EC4" w:rsidP="00883EC4">
            <w:pPr>
              <w:spacing w:after="0" w:line="240" w:lineRule="auto"/>
              <w:jc w:val="center"/>
              <w:rPr>
                <w:rFonts w:eastAsia="Times New Roman" w:cs="Times New Roman"/>
                <w:color w:val="000000"/>
              </w:rPr>
            </w:pPr>
            <w:r w:rsidRPr="00356CAC">
              <w:t>32.5%</w:t>
            </w:r>
          </w:p>
        </w:tc>
      </w:tr>
      <w:tr w:rsidR="00883EC4" w:rsidRPr="00445122" w14:paraId="436AC696" w14:textId="77777777" w:rsidTr="00922057">
        <w:trPr>
          <w:trHeight w:val="300"/>
          <w:jc w:val="center"/>
        </w:trPr>
        <w:tc>
          <w:tcPr>
            <w:tcW w:w="1706" w:type="pct"/>
            <w:shd w:val="clear" w:color="auto" w:fill="auto"/>
            <w:noWrap/>
            <w:hideMark/>
          </w:tcPr>
          <w:p w14:paraId="1D9B55A5" w14:textId="77777777" w:rsidR="00883EC4" w:rsidRPr="00445122" w:rsidRDefault="00883EC4" w:rsidP="00883EC4">
            <w:pPr>
              <w:spacing w:after="0" w:line="240" w:lineRule="auto"/>
              <w:jc w:val="left"/>
              <w:rPr>
                <w:rFonts w:eastAsia="Times New Roman" w:cs="Arial"/>
                <w:color w:val="000000"/>
              </w:rPr>
            </w:pPr>
            <w:r w:rsidRPr="00356CAC">
              <w:t>Chihuahua</w:t>
            </w:r>
          </w:p>
        </w:tc>
        <w:tc>
          <w:tcPr>
            <w:tcW w:w="1705" w:type="pct"/>
            <w:tcBorders>
              <w:top w:val="nil"/>
              <w:left w:val="single" w:sz="8" w:space="0" w:color="auto"/>
              <w:bottom w:val="single" w:sz="8" w:space="0" w:color="auto"/>
              <w:right w:val="single" w:sz="8" w:space="0" w:color="auto"/>
            </w:tcBorders>
            <w:shd w:val="clear" w:color="000000" w:fill="BFBFBF"/>
            <w:noWrap/>
            <w:hideMark/>
          </w:tcPr>
          <w:p w14:paraId="6B316D83" w14:textId="77777777" w:rsidR="00883EC4" w:rsidRPr="00445122" w:rsidRDefault="00883EC4" w:rsidP="00883EC4">
            <w:pPr>
              <w:spacing w:after="0" w:line="240" w:lineRule="auto"/>
              <w:jc w:val="center"/>
              <w:rPr>
                <w:rFonts w:eastAsia="Times New Roman" w:cs="Times New Roman"/>
                <w:color w:val="000000"/>
              </w:rPr>
            </w:pPr>
            <w:r w:rsidRPr="00356CAC">
              <w:t>13.2%</w:t>
            </w:r>
          </w:p>
        </w:tc>
        <w:tc>
          <w:tcPr>
            <w:tcW w:w="1589" w:type="pct"/>
            <w:tcBorders>
              <w:top w:val="nil"/>
              <w:left w:val="nil"/>
              <w:bottom w:val="single" w:sz="8" w:space="0" w:color="auto"/>
              <w:right w:val="single" w:sz="8" w:space="0" w:color="auto"/>
            </w:tcBorders>
            <w:shd w:val="clear" w:color="auto" w:fill="auto"/>
            <w:noWrap/>
            <w:hideMark/>
          </w:tcPr>
          <w:p w14:paraId="62431ADF" w14:textId="77777777" w:rsidR="00883EC4" w:rsidRPr="00445122" w:rsidRDefault="00883EC4" w:rsidP="00883EC4">
            <w:pPr>
              <w:spacing w:after="0" w:line="240" w:lineRule="auto"/>
              <w:jc w:val="center"/>
              <w:rPr>
                <w:rFonts w:eastAsia="Times New Roman" w:cs="Times New Roman"/>
                <w:color w:val="000000"/>
              </w:rPr>
            </w:pPr>
            <w:r w:rsidRPr="00356CAC">
              <w:t>32.6%</w:t>
            </w:r>
          </w:p>
        </w:tc>
      </w:tr>
      <w:tr w:rsidR="00883EC4" w:rsidRPr="00445122" w14:paraId="4238D809" w14:textId="77777777" w:rsidTr="00922057">
        <w:trPr>
          <w:trHeight w:val="300"/>
          <w:jc w:val="center"/>
        </w:trPr>
        <w:tc>
          <w:tcPr>
            <w:tcW w:w="1706" w:type="pct"/>
            <w:shd w:val="clear" w:color="auto" w:fill="auto"/>
            <w:noWrap/>
            <w:hideMark/>
          </w:tcPr>
          <w:p w14:paraId="72513FB5" w14:textId="77777777" w:rsidR="00883EC4" w:rsidRPr="00445122" w:rsidRDefault="00883EC4" w:rsidP="00883EC4">
            <w:pPr>
              <w:spacing w:after="0" w:line="240" w:lineRule="auto"/>
              <w:jc w:val="left"/>
              <w:rPr>
                <w:rFonts w:eastAsia="Times New Roman" w:cs="Arial"/>
                <w:color w:val="000000"/>
              </w:rPr>
            </w:pPr>
            <w:r w:rsidRPr="00356CAC">
              <w:t>Baja California Sur</w:t>
            </w:r>
          </w:p>
        </w:tc>
        <w:tc>
          <w:tcPr>
            <w:tcW w:w="1705" w:type="pct"/>
            <w:tcBorders>
              <w:top w:val="nil"/>
              <w:left w:val="single" w:sz="8" w:space="0" w:color="auto"/>
              <w:bottom w:val="single" w:sz="8" w:space="0" w:color="auto"/>
              <w:right w:val="single" w:sz="8" w:space="0" w:color="auto"/>
            </w:tcBorders>
            <w:shd w:val="clear" w:color="000000" w:fill="BFBFBF"/>
            <w:noWrap/>
            <w:hideMark/>
          </w:tcPr>
          <w:p w14:paraId="3205ED14" w14:textId="77777777" w:rsidR="00883EC4" w:rsidRPr="00445122" w:rsidRDefault="00883EC4" w:rsidP="00883EC4">
            <w:pPr>
              <w:spacing w:after="0" w:line="240" w:lineRule="auto"/>
              <w:jc w:val="center"/>
              <w:rPr>
                <w:rFonts w:eastAsia="Times New Roman" w:cs="Times New Roman"/>
                <w:color w:val="000000"/>
              </w:rPr>
            </w:pPr>
            <w:r w:rsidRPr="00356CAC">
              <w:t>-7.1%</w:t>
            </w:r>
          </w:p>
        </w:tc>
        <w:tc>
          <w:tcPr>
            <w:tcW w:w="1589" w:type="pct"/>
            <w:tcBorders>
              <w:top w:val="nil"/>
              <w:left w:val="nil"/>
              <w:bottom w:val="single" w:sz="8" w:space="0" w:color="auto"/>
              <w:right w:val="single" w:sz="8" w:space="0" w:color="auto"/>
            </w:tcBorders>
            <w:shd w:val="clear" w:color="auto" w:fill="auto"/>
            <w:noWrap/>
            <w:hideMark/>
          </w:tcPr>
          <w:p w14:paraId="2864E884" w14:textId="77777777" w:rsidR="00883EC4" w:rsidRPr="00445122" w:rsidRDefault="00883EC4" w:rsidP="00883EC4">
            <w:pPr>
              <w:spacing w:after="0" w:line="240" w:lineRule="auto"/>
              <w:jc w:val="center"/>
              <w:rPr>
                <w:rFonts w:eastAsia="Times New Roman" w:cs="Times New Roman"/>
                <w:color w:val="000000"/>
              </w:rPr>
            </w:pPr>
            <w:r w:rsidRPr="00356CAC">
              <w:t>33.3%</w:t>
            </w:r>
          </w:p>
        </w:tc>
      </w:tr>
      <w:tr w:rsidR="00883EC4" w:rsidRPr="00445122" w14:paraId="1AD477FB" w14:textId="77777777" w:rsidTr="00922057">
        <w:trPr>
          <w:trHeight w:val="300"/>
          <w:jc w:val="center"/>
        </w:trPr>
        <w:tc>
          <w:tcPr>
            <w:tcW w:w="1706" w:type="pct"/>
            <w:shd w:val="clear" w:color="auto" w:fill="auto"/>
            <w:noWrap/>
            <w:hideMark/>
          </w:tcPr>
          <w:p w14:paraId="19C4A112" w14:textId="77777777" w:rsidR="00883EC4" w:rsidRPr="00445122" w:rsidRDefault="00883EC4" w:rsidP="00883EC4">
            <w:pPr>
              <w:spacing w:after="0" w:line="240" w:lineRule="auto"/>
              <w:jc w:val="left"/>
              <w:rPr>
                <w:rFonts w:eastAsia="Times New Roman" w:cs="Arial"/>
                <w:color w:val="000000"/>
              </w:rPr>
            </w:pPr>
            <w:r w:rsidRPr="00356CAC">
              <w:t>Aguascalientes</w:t>
            </w:r>
          </w:p>
        </w:tc>
        <w:tc>
          <w:tcPr>
            <w:tcW w:w="1705" w:type="pct"/>
            <w:tcBorders>
              <w:top w:val="nil"/>
              <w:left w:val="single" w:sz="8" w:space="0" w:color="auto"/>
              <w:bottom w:val="single" w:sz="8" w:space="0" w:color="auto"/>
              <w:right w:val="single" w:sz="8" w:space="0" w:color="auto"/>
            </w:tcBorders>
            <w:shd w:val="clear" w:color="auto" w:fill="auto"/>
            <w:noWrap/>
            <w:hideMark/>
          </w:tcPr>
          <w:p w14:paraId="2763F42D" w14:textId="77777777" w:rsidR="00883EC4" w:rsidRPr="00445122" w:rsidRDefault="00883EC4" w:rsidP="00883EC4">
            <w:pPr>
              <w:spacing w:after="0" w:line="240" w:lineRule="auto"/>
              <w:jc w:val="center"/>
              <w:rPr>
                <w:rFonts w:eastAsia="Times New Roman" w:cs="Times New Roman"/>
                <w:color w:val="000000"/>
              </w:rPr>
            </w:pPr>
            <w:r w:rsidRPr="00356CAC">
              <w:t>8.3%</w:t>
            </w:r>
          </w:p>
        </w:tc>
        <w:tc>
          <w:tcPr>
            <w:tcW w:w="1589" w:type="pct"/>
            <w:tcBorders>
              <w:top w:val="nil"/>
              <w:left w:val="nil"/>
              <w:bottom w:val="single" w:sz="8" w:space="0" w:color="auto"/>
              <w:right w:val="single" w:sz="8" w:space="0" w:color="auto"/>
            </w:tcBorders>
            <w:shd w:val="clear" w:color="auto" w:fill="auto"/>
            <w:noWrap/>
            <w:hideMark/>
          </w:tcPr>
          <w:p w14:paraId="409B2482" w14:textId="77777777" w:rsidR="00883EC4" w:rsidRPr="00445122" w:rsidRDefault="00883EC4" w:rsidP="00883EC4">
            <w:pPr>
              <w:spacing w:after="0" w:line="240" w:lineRule="auto"/>
              <w:jc w:val="center"/>
              <w:rPr>
                <w:rFonts w:eastAsia="Times New Roman" w:cs="Times New Roman"/>
                <w:color w:val="000000"/>
              </w:rPr>
            </w:pPr>
            <w:r w:rsidRPr="00356CAC">
              <w:t>35.9%</w:t>
            </w:r>
          </w:p>
        </w:tc>
      </w:tr>
      <w:tr w:rsidR="00883EC4" w:rsidRPr="00445122" w14:paraId="67AB5701" w14:textId="77777777" w:rsidTr="00922057">
        <w:trPr>
          <w:trHeight w:val="300"/>
          <w:jc w:val="center"/>
        </w:trPr>
        <w:tc>
          <w:tcPr>
            <w:tcW w:w="1706" w:type="pct"/>
            <w:shd w:val="clear" w:color="auto" w:fill="auto"/>
            <w:noWrap/>
            <w:hideMark/>
          </w:tcPr>
          <w:p w14:paraId="640B891C" w14:textId="77777777" w:rsidR="00883EC4" w:rsidRPr="00445122" w:rsidRDefault="00883EC4">
            <w:pPr>
              <w:spacing w:after="0" w:line="240" w:lineRule="auto"/>
              <w:jc w:val="left"/>
              <w:rPr>
                <w:rFonts w:eastAsia="Times New Roman" w:cs="Arial"/>
                <w:color w:val="000000"/>
              </w:rPr>
            </w:pPr>
            <w:r w:rsidRPr="00356CAC">
              <w:lastRenderedPageBreak/>
              <w:t>Veracruz</w:t>
            </w:r>
            <w:r w:rsidRPr="00445122" w:rsidDel="00CB62B3">
              <w:rPr>
                <w:rFonts w:eastAsia="Times New Roman" w:cs="Arial"/>
                <w:color w:val="000000"/>
              </w:rPr>
              <w:t xml:space="preserve"> </w:t>
            </w:r>
          </w:p>
        </w:tc>
        <w:tc>
          <w:tcPr>
            <w:tcW w:w="1705" w:type="pct"/>
            <w:tcBorders>
              <w:top w:val="nil"/>
              <w:left w:val="single" w:sz="8" w:space="0" w:color="auto"/>
              <w:bottom w:val="single" w:sz="8" w:space="0" w:color="auto"/>
              <w:right w:val="single" w:sz="8" w:space="0" w:color="auto"/>
            </w:tcBorders>
            <w:shd w:val="clear" w:color="auto" w:fill="auto"/>
            <w:noWrap/>
            <w:hideMark/>
          </w:tcPr>
          <w:p w14:paraId="2997E877" w14:textId="77777777" w:rsidR="00883EC4" w:rsidRPr="00445122" w:rsidRDefault="00883EC4" w:rsidP="00883EC4">
            <w:pPr>
              <w:spacing w:after="0" w:line="240" w:lineRule="auto"/>
              <w:jc w:val="center"/>
              <w:rPr>
                <w:rFonts w:eastAsia="Times New Roman" w:cs="Times New Roman"/>
                <w:color w:val="000000"/>
              </w:rPr>
            </w:pPr>
            <w:r w:rsidRPr="00356CAC">
              <w:t>2.6%</w:t>
            </w:r>
          </w:p>
        </w:tc>
        <w:tc>
          <w:tcPr>
            <w:tcW w:w="1589" w:type="pct"/>
            <w:tcBorders>
              <w:top w:val="nil"/>
              <w:left w:val="nil"/>
              <w:bottom w:val="single" w:sz="8" w:space="0" w:color="auto"/>
              <w:right w:val="single" w:sz="8" w:space="0" w:color="auto"/>
            </w:tcBorders>
            <w:shd w:val="clear" w:color="auto" w:fill="auto"/>
            <w:noWrap/>
            <w:hideMark/>
          </w:tcPr>
          <w:p w14:paraId="43BDE948" w14:textId="77777777" w:rsidR="00883EC4" w:rsidRPr="00445122" w:rsidRDefault="00883EC4" w:rsidP="00883EC4">
            <w:pPr>
              <w:spacing w:after="0" w:line="240" w:lineRule="auto"/>
              <w:jc w:val="center"/>
              <w:rPr>
                <w:rFonts w:eastAsia="Times New Roman" w:cs="Times New Roman"/>
                <w:color w:val="000000"/>
              </w:rPr>
            </w:pPr>
            <w:r w:rsidRPr="00356CAC">
              <w:t>35.9%</w:t>
            </w:r>
          </w:p>
        </w:tc>
      </w:tr>
      <w:tr w:rsidR="00883EC4" w:rsidRPr="00445122" w14:paraId="0C66D1E3" w14:textId="77777777" w:rsidTr="00922057">
        <w:trPr>
          <w:trHeight w:val="300"/>
          <w:jc w:val="center"/>
        </w:trPr>
        <w:tc>
          <w:tcPr>
            <w:tcW w:w="1706" w:type="pct"/>
            <w:shd w:val="clear" w:color="auto" w:fill="auto"/>
            <w:noWrap/>
            <w:hideMark/>
          </w:tcPr>
          <w:p w14:paraId="3335B820" w14:textId="77777777" w:rsidR="00883EC4" w:rsidRPr="00445122" w:rsidRDefault="00883EC4" w:rsidP="00883EC4">
            <w:pPr>
              <w:spacing w:after="0" w:line="240" w:lineRule="auto"/>
              <w:jc w:val="left"/>
              <w:rPr>
                <w:rFonts w:eastAsia="Times New Roman" w:cs="Arial"/>
                <w:color w:val="000000"/>
              </w:rPr>
            </w:pPr>
            <w:r w:rsidRPr="00356CAC">
              <w:t>Colima</w:t>
            </w:r>
          </w:p>
        </w:tc>
        <w:tc>
          <w:tcPr>
            <w:tcW w:w="1705" w:type="pct"/>
            <w:tcBorders>
              <w:top w:val="nil"/>
              <w:left w:val="single" w:sz="8" w:space="0" w:color="auto"/>
              <w:bottom w:val="single" w:sz="8" w:space="0" w:color="auto"/>
              <w:right w:val="single" w:sz="8" w:space="0" w:color="auto"/>
            </w:tcBorders>
            <w:shd w:val="clear" w:color="auto" w:fill="auto"/>
            <w:noWrap/>
            <w:hideMark/>
          </w:tcPr>
          <w:p w14:paraId="2EE579A5" w14:textId="77777777" w:rsidR="00883EC4" w:rsidRPr="00445122" w:rsidRDefault="00883EC4" w:rsidP="00883EC4">
            <w:pPr>
              <w:spacing w:after="0" w:line="240" w:lineRule="auto"/>
              <w:jc w:val="center"/>
              <w:rPr>
                <w:rFonts w:eastAsia="Times New Roman" w:cs="Times New Roman"/>
                <w:color w:val="000000"/>
              </w:rPr>
            </w:pPr>
            <w:r w:rsidRPr="00356CAC">
              <w:t>21.9%</w:t>
            </w:r>
          </w:p>
        </w:tc>
        <w:tc>
          <w:tcPr>
            <w:tcW w:w="1589" w:type="pct"/>
            <w:tcBorders>
              <w:top w:val="nil"/>
              <w:left w:val="nil"/>
              <w:bottom w:val="single" w:sz="8" w:space="0" w:color="auto"/>
              <w:right w:val="single" w:sz="8" w:space="0" w:color="auto"/>
            </w:tcBorders>
            <w:shd w:val="clear" w:color="auto" w:fill="auto"/>
            <w:noWrap/>
            <w:hideMark/>
          </w:tcPr>
          <w:p w14:paraId="34787680" w14:textId="77777777" w:rsidR="00883EC4" w:rsidRPr="00445122" w:rsidRDefault="00883EC4" w:rsidP="00883EC4">
            <w:pPr>
              <w:spacing w:after="0" w:line="240" w:lineRule="auto"/>
              <w:jc w:val="center"/>
              <w:rPr>
                <w:rFonts w:eastAsia="Times New Roman" w:cs="Times New Roman"/>
                <w:color w:val="000000"/>
              </w:rPr>
            </w:pPr>
            <w:r w:rsidRPr="00356CAC">
              <w:t>38.5%</w:t>
            </w:r>
          </w:p>
        </w:tc>
      </w:tr>
      <w:tr w:rsidR="00883EC4" w:rsidRPr="00445122" w14:paraId="33DDB111" w14:textId="77777777" w:rsidTr="00922057">
        <w:trPr>
          <w:trHeight w:val="300"/>
          <w:jc w:val="center"/>
        </w:trPr>
        <w:tc>
          <w:tcPr>
            <w:tcW w:w="1706" w:type="pct"/>
            <w:shd w:val="clear" w:color="auto" w:fill="auto"/>
            <w:noWrap/>
            <w:hideMark/>
          </w:tcPr>
          <w:p w14:paraId="5F8EAC95" w14:textId="77777777" w:rsidR="00883EC4" w:rsidRPr="00445122" w:rsidRDefault="00883EC4" w:rsidP="00883EC4">
            <w:pPr>
              <w:spacing w:after="0" w:line="240" w:lineRule="auto"/>
              <w:jc w:val="left"/>
              <w:rPr>
                <w:rFonts w:eastAsia="Times New Roman" w:cs="Arial"/>
                <w:color w:val="000000"/>
              </w:rPr>
            </w:pPr>
            <w:r w:rsidRPr="00356CAC">
              <w:t>Zacatecas</w:t>
            </w:r>
          </w:p>
        </w:tc>
        <w:tc>
          <w:tcPr>
            <w:tcW w:w="1705" w:type="pct"/>
            <w:tcBorders>
              <w:top w:val="nil"/>
              <w:left w:val="single" w:sz="8" w:space="0" w:color="auto"/>
              <w:bottom w:val="single" w:sz="8" w:space="0" w:color="auto"/>
              <w:right w:val="single" w:sz="8" w:space="0" w:color="auto"/>
            </w:tcBorders>
            <w:shd w:val="clear" w:color="auto" w:fill="auto"/>
            <w:noWrap/>
            <w:hideMark/>
          </w:tcPr>
          <w:p w14:paraId="7F7FB607" w14:textId="77777777" w:rsidR="00883EC4" w:rsidRPr="00445122" w:rsidRDefault="00883EC4" w:rsidP="00883EC4">
            <w:pPr>
              <w:spacing w:after="0" w:line="240" w:lineRule="auto"/>
              <w:jc w:val="center"/>
              <w:rPr>
                <w:rFonts w:eastAsia="Times New Roman" w:cs="Times New Roman"/>
                <w:color w:val="000000"/>
              </w:rPr>
            </w:pPr>
            <w:r w:rsidRPr="00356CAC">
              <w:t>-4.7%</w:t>
            </w:r>
          </w:p>
        </w:tc>
        <w:tc>
          <w:tcPr>
            <w:tcW w:w="1589" w:type="pct"/>
            <w:tcBorders>
              <w:top w:val="nil"/>
              <w:left w:val="nil"/>
              <w:bottom w:val="single" w:sz="8" w:space="0" w:color="auto"/>
              <w:right w:val="single" w:sz="8" w:space="0" w:color="auto"/>
            </w:tcBorders>
            <w:shd w:val="clear" w:color="auto" w:fill="auto"/>
            <w:noWrap/>
            <w:hideMark/>
          </w:tcPr>
          <w:p w14:paraId="61772BF1" w14:textId="77777777" w:rsidR="00883EC4" w:rsidRPr="00445122" w:rsidRDefault="00883EC4" w:rsidP="00883EC4">
            <w:pPr>
              <w:spacing w:after="0" w:line="240" w:lineRule="auto"/>
              <w:jc w:val="center"/>
              <w:rPr>
                <w:rFonts w:eastAsia="Times New Roman" w:cs="Times New Roman"/>
                <w:color w:val="000000"/>
              </w:rPr>
            </w:pPr>
            <w:r w:rsidRPr="00356CAC">
              <w:t>39.0%</w:t>
            </w:r>
          </w:p>
        </w:tc>
      </w:tr>
      <w:tr w:rsidR="00883EC4" w:rsidRPr="00445122" w14:paraId="35E9D1B4" w14:textId="77777777" w:rsidTr="00922057">
        <w:trPr>
          <w:trHeight w:val="300"/>
          <w:jc w:val="center"/>
        </w:trPr>
        <w:tc>
          <w:tcPr>
            <w:tcW w:w="1706" w:type="pct"/>
            <w:shd w:val="clear" w:color="auto" w:fill="auto"/>
            <w:noWrap/>
            <w:hideMark/>
          </w:tcPr>
          <w:p w14:paraId="5ADE9DF5" w14:textId="77777777" w:rsidR="00883EC4" w:rsidRPr="00445122" w:rsidRDefault="00883EC4" w:rsidP="00883EC4">
            <w:pPr>
              <w:spacing w:after="0" w:line="240" w:lineRule="auto"/>
              <w:jc w:val="left"/>
              <w:rPr>
                <w:rFonts w:eastAsia="Times New Roman" w:cs="Arial"/>
                <w:color w:val="000000"/>
              </w:rPr>
            </w:pPr>
            <w:r w:rsidRPr="00356CAC">
              <w:t>Nayarit</w:t>
            </w:r>
          </w:p>
        </w:tc>
        <w:tc>
          <w:tcPr>
            <w:tcW w:w="1705" w:type="pct"/>
            <w:tcBorders>
              <w:top w:val="nil"/>
              <w:left w:val="single" w:sz="8" w:space="0" w:color="auto"/>
              <w:bottom w:val="single" w:sz="8" w:space="0" w:color="auto"/>
              <w:right w:val="single" w:sz="8" w:space="0" w:color="auto"/>
            </w:tcBorders>
            <w:shd w:val="clear" w:color="auto" w:fill="auto"/>
            <w:noWrap/>
            <w:hideMark/>
          </w:tcPr>
          <w:p w14:paraId="295EB678" w14:textId="77777777" w:rsidR="00883EC4" w:rsidRPr="00445122" w:rsidRDefault="00883EC4" w:rsidP="00883EC4">
            <w:pPr>
              <w:spacing w:after="0" w:line="240" w:lineRule="auto"/>
              <w:jc w:val="center"/>
              <w:rPr>
                <w:rFonts w:eastAsia="Times New Roman" w:cs="Times New Roman"/>
                <w:color w:val="000000"/>
              </w:rPr>
            </w:pPr>
            <w:r w:rsidRPr="00356CAC">
              <w:t>15.4%</w:t>
            </w:r>
          </w:p>
        </w:tc>
        <w:tc>
          <w:tcPr>
            <w:tcW w:w="1589" w:type="pct"/>
            <w:tcBorders>
              <w:top w:val="nil"/>
              <w:left w:val="nil"/>
              <w:bottom w:val="single" w:sz="8" w:space="0" w:color="auto"/>
              <w:right w:val="single" w:sz="8" w:space="0" w:color="auto"/>
            </w:tcBorders>
            <w:shd w:val="clear" w:color="auto" w:fill="auto"/>
            <w:noWrap/>
            <w:hideMark/>
          </w:tcPr>
          <w:p w14:paraId="318AD3BD" w14:textId="77777777" w:rsidR="00883EC4" w:rsidRPr="00445122" w:rsidRDefault="00883EC4" w:rsidP="00883EC4">
            <w:pPr>
              <w:spacing w:after="0" w:line="240" w:lineRule="auto"/>
              <w:jc w:val="center"/>
              <w:rPr>
                <w:rFonts w:eastAsia="Times New Roman" w:cs="Times New Roman"/>
                <w:color w:val="000000"/>
              </w:rPr>
            </w:pPr>
            <w:r w:rsidRPr="00356CAC">
              <w:t>40.0%</w:t>
            </w:r>
          </w:p>
        </w:tc>
      </w:tr>
      <w:tr w:rsidR="00883EC4" w:rsidRPr="00445122" w14:paraId="493E4957" w14:textId="77777777" w:rsidTr="00922057">
        <w:trPr>
          <w:trHeight w:val="300"/>
          <w:jc w:val="center"/>
        </w:trPr>
        <w:tc>
          <w:tcPr>
            <w:tcW w:w="1706" w:type="pct"/>
            <w:tcBorders>
              <w:bottom w:val="single" w:sz="4" w:space="0" w:color="auto"/>
            </w:tcBorders>
            <w:shd w:val="clear" w:color="auto" w:fill="auto"/>
            <w:noWrap/>
            <w:hideMark/>
          </w:tcPr>
          <w:p w14:paraId="661EAA46" w14:textId="77777777" w:rsidR="00883EC4" w:rsidRPr="00445122" w:rsidRDefault="00883EC4" w:rsidP="00883EC4">
            <w:pPr>
              <w:spacing w:after="0" w:line="240" w:lineRule="auto"/>
              <w:jc w:val="left"/>
              <w:rPr>
                <w:rFonts w:eastAsia="Times New Roman" w:cs="Arial"/>
                <w:color w:val="000000"/>
              </w:rPr>
            </w:pPr>
            <w:r w:rsidRPr="00356CAC">
              <w:t>Yucatán</w:t>
            </w:r>
          </w:p>
        </w:tc>
        <w:tc>
          <w:tcPr>
            <w:tcW w:w="1705" w:type="pct"/>
            <w:tcBorders>
              <w:top w:val="nil"/>
              <w:left w:val="single" w:sz="8" w:space="0" w:color="auto"/>
              <w:bottom w:val="single" w:sz="4" w:space="0" w:color="auto"/>
              <w:right w:val="single" w:sz="8" w:space="0" w:color="auto"/>
            </w:tcBorders>
            <w:shd w:val="clear" w:color="auto" w:fill="auto"/>
            <w:noWrap/>
            <w:hideMark/>
          </w:tcPr>
          <w:p w14:paraId="41772F00" w14:textId="77777777" w:rsidR="00883EC4" w:rsidRPr="00445122" w:rsidRDefault="00883EC4" w:rsidP="00883EC4">
            <w:pPr>
              <w:spacing w:after="0" w:line="240" w:lineRule="auto"/>
              <w:jc w:val="center"/>
              <w:rPr>
                <w:rFonts w:eastAsia="Times New Roman" w:cs="Times New Roman"/>
                <w:color w:val="000000"/>
              </w:rPr>
            </w:pPr>
            <w:r w:rsidRPr="00356CAC">
              <w:t>2.5%</w:t>
            </w:r>
          </w:p>
        </w:tc>
        <w:tc>
          <w:tcPr>
            <w:tcW w:w="1589" w:type="pct"/>
            <w:tcBorders>
              <w:top w:val="nil"/>
              <w:left w:val="nil"/>
              <w:bottom w:val="single" w:sz="4" w:space="0" w:color="auto"/>
              <w:right w:val="single" w:sz="8" w:space="0" w:color="auto"/>
            </w:tcBorders>
            <w:shd w:val="clear" w:color="auto" w:fill="auto"/>
            <w:noWrap/>
            <w:hideMark/>
          </w:tcPr>
          <w:p w14:paraId="1452D83D" w14:textId="77777777" w:rsidR="00883EC4" w:rsidRPr="00445122" w:rsidRDefault="00883EC4" w:rsidP="00883EC4">
            <w:pPr>
              <w:spacing w:after="0" w:line="240" w:lineRule="auto"/>
              <w:jc w:val="center"/>
              <w:rPr>
                <w:rFonts w:eastAsia="Times New Roman" w:cs="Times New Roman"/>
                <w:color w:val="000000"/>
              </w:rPr>
            </w:pPr>
            <w:r w:rsidRPr="00356CAC">
              <w:t>41.5%</w:t>
            </w:r>
          </w:p>
        </w:tc>
      </w:tr>
      <w:tr w:rsidR="00883EC4" w:rsidRPr="00E07956" w14:paraId="5F5A1CA5" w14:textId="77777777" w:rsidTr="00922057">
        <w:trPr>
          <w:trHeight w:val="300"/>
          <w:jc w:val="center"/>
        </w:trPr>
        <w:tc>
          <w:tcPr>
            <w:tcW w:w="1706" w:type="pct"/>
            <w:tcBorders>
              <w:top w:val="single" w:sz="4" w:space="0" w:color="auto"/>
              <w:bottom w:val="single" w:sz="4" w:space="0" w:color="auto"/>
              <w:right w:val="single" w:sz="4" w:space="0" w:color="auto"/>
            </w:tcBorders>
            <w:shd w:val="clear" w:color="auto" w:fill="auto"/>
            <w:noWrap/>
            <w:hideMark/>
          </w:tcPr>
          <w:p w14:paraId="75907CBF" w14:textId="77777777" w:rsidR="00883EC4" w:rsidRPr="00445122" w:rsidRDefault="00883EC4">
            <w:pPr>
              <w:spacing w:after="0" w:line="240" w:lineRule="auto"/>
              <w:jc w:val="left"/>
              <w:rPr>
                <w:rFonts w:eastAsia="Times New Roman" w:cs="Arial"/>
                <w:color w:val="000000"/>
              </w:rPr>
            </w:pPr>
            <w:r w:rsidRPr="00356CAC">
              <w:t>Michoacán</w:t>
            </w:r>
            <w:r w:rsidRPr="00445122" w:rsidDel="00CB62B3">
              <w:rPr>
                <w:rFonts w:eastAsia="Times New Roman" w:cs="Arial"/>
                <w:color w:val="000000"/>
              </w:rPr>
              <w:t xml:space="preserve"> </w:t>
            </w:r>
          </w:p>
        </w:tc>
        <w:tc>
          <w:tcPr>
            <w:tcW w:w="1705" w:type="pct"/>
            <w:tcBorders>
              <w:top w:val="single" w:sz="4" w:space="0" w:color="auto"/>
              <w:left w:val="single" w:sz="4" w:space="0" w:color="auto"/>
              <w:bottom w:val="single" w:sz="4" w:space="0" w:color="auto"/>
              <w:right w:val="single" w:sz="4" w:space="0" w:color="auto"/>
            </w:tcBorders>
            <w:shd w:val="clear" w:color="auto" w:fill="auto"/>
            <w:noWrap/>
            <w:hideMark/>
          </w:tcPr>
          <w:p w14:paraId="430EAC0A" w14:textId="77777777" w:rsidR="00883EC4" w:rsidRPr="00445122" w:rsidRDefault="00883EC4" w:rsidP="00883EC4">
            <w:pPr>
              <w:spacing w:after="0" w:line="240" w:lineRule="auto"/>
              <w:jc w:val="center"/>
              <w:rPr>
                <w:rFonts w:eastAsia="Times New Roman" w:cs="Times New Roman"/>
                <w:color w:val="000000"/>
              </w:rPr>
            </w:pPr>
            <w:r w:rsidRPr="00356CAC">
              <w:t>26.9%</w:t>
            </w:r>
          </w:p>
        </w:tc>
        <w:tc>
          <w:tcPr>
            <w:tcW w:w="1589" w:type="pct"/>
            <w:tcBorders>
              <w:top w:val="single" w:sz="4" w:space="0" w:color="auto"/>
              <w:left w:val="single" w:sz="4" w:space="0" w:color="auto"/>
              <w:bottom w:val="single" w:sz="4" w:space="0" w:color="auto"/>
              <w:right w:val="single" w:sz="4" w:space="0" w:color="auto"/>
            </w:tcBorders>
            <w:shd w:val="clear" w:color="auto" w:fill="auto"/>
            <w:noWrap/>
            <w:hideMark/>
          </w:tcPr>
          <w:p w14:paraId="24EAD0D4" w14:textId="77777777" w:rsidR="00883EC4" w:rsidRPr="00445122" w:rsidRDefault="00883EC4" w:rsidP="00883EC4">
            <w:pPr>
              <w:spacing w:after="0" w:line="240" w:lineRule="auto"/>
              <w:jc w:val="center"/>
              <w:rPr>
                <w:rFonts w:eastAsia="Times New Roman" w:cs="Times New Roman"/>
                <w:color w:val="000000"/>
              </w:rPr>
            </w:pPr>
            <w:r w:rsidRPr="00356CAC">
              <w:t>48.5%</w:t>
            </w:r>
          </w:p>
        </w:tc>
      </w:tr>
      <w:tr w:rsidR="00883EC4" w:rsidRPr="00E07956" w14:paraId="48023DD3" w14:textId="77777777" w:rsidTr="00922057">
        <w:trPr>
          <w:trHeight w:val="300"/>
          <w:jc w:val="center"/>
        </w:trPr>
        <w:tc>
          <w:tcPr>
            <w:tcW w:w="1706" w:type="pct"/>
            <w:tcBorders>
              <w:top w:val="single" w:sz="4" w:space="0" w:color="auto"/>
              <w:bottom w:val="single" w:sz="4" w:space="0" w:color="auto"/>
              <w:right w:val="single" w:sz="4" w:space="0" w:color="auto"/>
            </w:tcBorders>
            <w:shd w:val="clear" w:color="auto" w:fill="auto"/>
            <w:noWrap/>
          </w:tcPr>
          <w:p w14:paraId="1F09D8A9" w14:textId="77777777" w:rsidR="00883EC4" w:rsidRPr="00445122" w:rsidRDefault="00883EC4" w:rsidP="00883EC4">
            <w:pPr>
              <w:spacing w:after="0" w:line="240" w:lineRule="auto"/>
              <w:jc w:val="left"/>
              <w:rPr>
                <w:rFonts w:eastAsia="Times New Roman" w:cs="Arial"/>
                <w:color w:val="000000"/>
              </w:rPr>
            </w:pPr>
            <w:r w:rsidRPr="00356CAC">
              <w:t>Oaxaca</w:t>
            </w:r>
          </w:p>
        </w:tc>
        <w:tc>
          <w:tcPr>
            <w:tcW w:w="1705" w:type="pct"/>
            <w:tcBorders>
              <w:top w:val="single" w:sz="4" w:space="0" w:color="auto"/>
              <w:left w:val="single" w:sz="4" w:space="0" w:color="auto"/>
              <w:bottom w:val="single" w:sz="4" w:space="0" w:color="auto"/>
              <w:right w:val="single" w:sz="4" w:space="0" w:color="auto"/>
            </w:tcBorders>
            <w:shd w:val="clear" w:color="auto" w:fill="auto"/>
            <w:noWrap/>
          </w:tcPr>
          <w:p w14:paraId="57C98264" w14:textId="77777777" w:rsidR="00883EC4" w:rsidRPr="00445122" w:rsidRDefault="00883EC4" w:rsidP="00883EC4">
            <w:pPr>
              <w:spacing w:after="0" w:line="240" w:lineRule="auto"/>
              <w:jc w:val="center"/>
              <w:rPr>
                <w:color w:val="000000"/>
              </w:rPr>
            </w:pPr>
            <w:r w:rsidRPr="00356CAC">
              <w:t>14.3%</w:t>
            </w:r>
          </w:p>
        </w:tc>
        <w:tc>
          <w:tcPr>
            <w:tcW w:w="1589" w:type="pct"/>
            <w:tcBorders>
              <w:top w:val="single" w:sz="4" w:space="0" w:color="auto"/>
              <w:left w:val="single" w:sz="4" w:space="0" w:color="auto"/>
              <w:bottom w:val="single" w:sz="4" w:space="0" w:color="auto"/>
              <w:right w:val="single" w:sz="4" w:space="0" w:color="auto"/>
            </w:tcBorders>
            <w:shd w:val="clear" w:color="auto" w:fill="auto"/>
            <w:noWrap/>
          </w:tcPr>
          <w:p w14:paraId="689C1C9A" w14:textId="77777777" w:rsidR="00883EC4" w:rsidRPr="00445122" w:rsidRDefault="00883EC4" w:rsidP="00883EC4">
            <w:pPr>
              <w:spacing w:after="0" w:line="240" w:lineRule="auto"/>
              <w:jc w:val="center"/>
              <w:rPr>
                <w:color w:val="000000"/>
              </w:rPr>
            </w:pPr>
            <w:r w:rsidRPr="00356CAC">
              <w:t>50.0%</w:t>
            </w:r>
          </w:p>
        </w:tc>
      </w:tr>
      <w:tr w:rsidR="00883EC4" w:rsidRPr="00E07956" w14:paraId="2C3FE349" w14:textId="77777777" w:rsidTr="00922057">
        <w:trPr>
          <w:trHeight w:val="300"/>
          <w:jc w:val="center"/>
        </w:trPr>
        <w:tc>
          <w:tcPr>
            <w:tcW w:w="1706" w:type="pct"/>
            <w:tcBorders>
              <w:top w:val="single" w:sz="4" w:space="0" w:color="auto"/>
              <w:bottom w:val="single" w:sz="4" w:space="0" w:color="auto"/>
              <w:right w:val="single" w:sz="4" w:space="0" w:color="auto"/>
            </w:tcBorders>
            <w:shd w:val="clear" w:color="auto" w:fill="BFBFBF" w:themeFill="background1" w:themeFillShade="BF"/>
            <w:noWrap/>
            <w:vAlign w:val="center"/>
          </w:tcPr>
          <w:p w14:paraId="190AA77D" w14:textId="77777777" w:rsidR="00883EC4" w:rsidRPr="00356CAC" w:rsidRDefault="00883EC4" w:rsidP="00883EC4">
            <w:pPr>
              <w:spacing w:after="0" w:line="240" w:lineRule="auto"/>
              <w:jc w:val="left"/>
            </w:pPr>
            <w:r>
              <w:rPr>
                <w:b/>
                <w:bCs/>
                <w:color w:val="000000"/>
              </w:rPr>
              <w:t>Promedio</w:t>
            </w:r>
          </w:p>
        </w:tc>
        <w:tc>
          <w:tcPr>
            <w:tcW w:w="170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8C82619" w14:textId="77777777" w:rsidR="00883EC4" w:rsidRPr="00356CAC" w:rsidRDefault="00883EC4" w:rsidP="00883EC4">
            <w:pPr>
              <w:spacing w:after="0" w:line="240" w:lineRule="auto"/>
              <w:jc w:val="center"/>
            </w:pPr>
            <w:r>
              <w:rPr>
                <w:b/>
                <w:bCs/>
                <w:color w:val="000000"/>
              </w:rPr>
              <w:t>15.9%</w:t>
            </w:r>
          </w:p>
        </w:tc>
        <w:tc>
          <w:tcPr>
            <w:tcW w:w="1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6A760F" w14:textId="77777777" w:rsidR="00883EC4" w:rsidRPr="00356CAC" w:rsidRDefault="00883EC4" w:rsidP="00883EC4">
            <w:pPr>
              <w:spacing w:after="0" w:line="240" w:lineRule="auto"/>
              <w:jc w:val="center"/>
            </w:pPr>
            <w:r>
              <w:rPr>
                <w:b/>
                <w:bCs/>
                <w:color w:val="000000"/>
              </w:rPr>
              <w:t>21.0%</w:t>
            </w:r>
          </w:p>
        </w:tc>
      </w:tr>
    </w:tbl>
    <w:p w14:paraId="29FF2616" w14:textId="77777777" w:rsidR="000F72EB" w:rsidRPr="00E07956" w:rsidRDefault="000F72EB" w:rsidP="00B86A00">
      <w:pPr>
        <w:spacing w:line="240" w:lineRule="auto"/>
        <w:ind w:left="1134" w:right="1183"/>
        <w:rPr>
          <w:rFonts w:eastAsia="Times New Roman" w:cs="Times New Roman"/>
          <w:sz w:val="20"/>
        </w:rPr>
      </w:pPr>
      <w:r w:rsidRPr="00E81B85">
        <w:rPr>
          <w:sz w:val="18"/>
        </w:rPr>
        <w:t>Fuente: Unidad de Evaluación del Desempeño, SHCP; con datos del Sistema de Formato Único y del Tribunal Electoral del Poder Judicial de la Federación</w:t>
      </w:r>
      <w:r w:rsidRPr="00E07956">
        <w:rPr>
          <w:rFonts w:eastAsia="Times New Roman" w:cs="Times New Roman"/>
          <w:sz w:val="20"/>
        </w:rPr>
        <w:t>.</w:t>
      </w:r>
    </w:p>
    <w:p w14:paraId="3C64E72B" w14:textId="77777777" w:rsidR="000F72EB" w:rsidRDefault="00E366A9" w:rsidP="00B86A00">
      <w:pPr>
        <w:ind w:firstLine="709"/>
        <w:rPr>
          <w:b/>
        </w:rPr>
      </w:pPr>
      <w:r w:rsidRPr="0032186C">
        <w:t>En este caso, dentro del primer grupo la única entidad federativa que presentó un deterioro en la calidad de</w:t>
      </w:r>
      <w:r w:rsidR="00EA1558" w:rsidRPr="0032186C">
        <w:t xml:space="preserve"> </w:t>
      </w:r>
      <w:r w:rsidRPr="0032186C">
        <w:t>la información reportada es Baja California Sur</w:t>
      </w:r>
      <w:r w:rsidR="00EA1558" w:rsidRPr="0032186C">
        <w:t>. Mientras que</w:t>
      </w:r>
      <w:r w:rsidRPr="0032186C">
        <w:t xml:space="preserve"> en el segundo grupo de estado</w:t>
      </w:r>
      <w:r w:rsidR="00EA1558" w:rsidRPr="0032186C">
        <w:t>s</w:t>
      </w:r>
      <w:r w:rsidRPr="0032186C">
        <w:t xml:space="preserve"> con cambio de gobernador no </w:t>
      </w:r>
      <w:r w:rsidR="00EA1558" w:rsidRPr="0032186C">
        <w:t>hubo</w:t>
      </w:r>
      <w:r w:rsidRPr="0032186C">
        <w:t xml:space="preserve"> deterioro </w:t>
      </w:r>
      <w:r w:rsidR="00EA1558" w:rsidRPr="0032186C">
        <w:t>en</w:t>
      </w:r>
      <w:r w:rsidRPr="0032186C">
        <w:t xml:space="preserve"> la calidad de la información reportada sobre los recursos federales transferido</w:t>
      </w:r>
      <w:r w:rsidR="008D175E">
        <w:t>s.</w:t>
      </w:r>
    </w:p>
    <w:p w14:paraId="060539E9" w14:textId="77777777" w:rsidR="003B4D06" w:rsidRPr="001511A7" w:rsidRDefault="00CC2493" w:rsidP="00B86A00">
      <w:pPr>
        <w:ind w:firstLine="709"/>
      </w:pPr>
      <w:r w:rsidRPr="003B4D06">
        <w:t>A continuación</w:t>
      </w:r>
      <w:r w:rsidR="0047691F" w:rsidRPr="003B4D06">
        <w:t>,</w:t>
      </w:r>
      <w:r w:rsidRPr="003B4D06">
        <w:t xml:space="preserve"> se muestran los principales hallazgos por componente del ICI correspondiente a</w:t>
      </w:r>
      <w:r w:rsidR="0047691F" w:rsidRPr="003B4D06">
        <w:t xml:space="preserve"> </w:t>
      </w:r>
      <w:r w:rsidRPr="003B4D06">
        <w:t>l</w:t>
      </w:r>
      <w:r w:rsidR="0047691F" w:rsidRPr="003B4D06">
        <w:t>o</w:t>
      </w:r>
      <w:r w:rsidRPr="003B4D06">
        <w:t xml:space="preserve"> </w:t>
      </w:r>
      <w:r w:rsidR="0047691F" w:rsidRPr="003B4D06">
        <w:t xml:space="preserve">reportado en el </w:t>
      </w:r>
      <w:r w:rsidR="001511A7">
        <w:t>cuarto trimestre de 2015.</w:t>
      </w:r>
    </w:p>
    <w:p w14:paraId="118B5898" w14:textId="77777777" w:rsidR="00E8635E" w:rsidRPr="00E07956" w:rsidRDefault="00E8635E" w:rsidP="0073569A">
      <w:pPr>
        <w:pStyle w:val="Ttulo3"/>
      </w:pPr>
      <w:bookmarkStart w:id="10" w:name="_Toc447904082"/>
      <w:r w:rsidRPr="00E07956">
        <w:t>Gestión de Proyectos</w:t>
      </w:r>
      <w:bookmarkEnd w:id="10"/>
    </w:p>
    <w:p w14:paraId="29D2747F" w14:textId="6E92CE20" w:rsidR="00D520D0" w:rsidRPr="00DB2A4C" w:rsidRDefault="00F411F0" w:rsidP="000605C8">
      <w:r>
        <w:t>La</w:t>
      </w:r>
      <w:r w:rsidR="0084513C">
        <w:t xml:space="preserve"> SHCP </w:t>
      </w:r>
      <w:r>
        <w:t>define los programas y proyectos de inversión en los</w:t>
      </w:r>
      <w:r w:rsidR="00D520D0">
        <w:t xml:space="preserve"> </w:t>
      </w:r>
      <w:r w:rsidR="00D520D0" w:rsidRPr="00F97212">
        <w:rPr>
          <w:i/>
        </w:rPr>
        <w:t>Lineamientos para la elaboración y presentación de los análisis costo y beneficio de los programas y proyectos de inversión</w:t>
      </w:r>
      <w:r w:rsidR="00E30D4F">
        <w:rPr>
          <w:rStyle w:val="Refdenotaalpie"/>
          <w:i/>
        </w:rPr>
        <w:footnoteReference w:id="11"/>
      </w:r>
      <w:r w:rsidR="00070899">
        <w:rPr>
          <w:i/>
        </w:rPr>
        <w:t xml:space="preserve"> como</w:t>
      </w:r>
      <w:r w:rsidR="00D520D0" w:rsidRPr="00DB2A4C">
        <w:t>:</w:t>
      </w:r>
    </w:p>
    <w:p w14:paraId="09CBE53C" w14:textId="77777777" w:rsidR="003B4D06" w:rsidRDefault="00D520D0" w:rsidP="003B4D06">
      <w:pPr>
        <w:shd w:val="clear" w:color="auto" w:fill="FFFFFF"/>
        <w:spacing w:after="101" w:line="240" w:lineRule="auto"/>
        <w:ind w:left="426" w:right="474"/>
        <w:rPr>
          <w:i/>
        </w:rPr>
      </w:pPr>
      <w:r w:rsidRPr="00E30D4F">
        <w:rPr>
          <w:i/>
        </w:rPr>
        <w:t>XXXI. Programas y proyectos de inversión: Conjunto de obras y acciones que llevan a cabo las dependencias y entidades de la Administración Pública Federal para la construcción, ampliación, adquisición, modificación, mantenimiento o conservación de activos fijos, con el propósito de solucionar una problemática o atender una necesidad específica y que generan beneficios y costos a lo largo del tiempo</w:t>
      </w:r>
    </w:p>
    <w:p w14:paraId="6E25F201" w14:textId="77777777" w:rsidR="003B4D06" w:rsidRPr="003B4D06" w:rsidRDefault="003B4D06" w:rsidP="003B4D06">
      <w:pPr>
        <w:shd w:val="clear" w:color="auto" w:fill="FFFFFF"/>
        <w:spacing w:after="101" w:line="240" w:lineRule="auto"/>
        <w:ind w:left="426" w:right="474"/>
        <w:rPr>
          <w:i/>
        </w:rPr>
      </w:pPr>
    </w:p>
    <w:p w14:paraId="40C20DF2" w14:textId="77777777" w:rsidR="0084513C" w:rsidRPr="003B4D06" w:rsidRDefault="008645A2" w:rsidP="00E81B85">
      <w:pPr>
        <w:ind w:firstLine="709"/>
        <w:rPr>
          <w:b/>
        </w:rPr>
      </w:pPr>
      <w:r>
        <w:t>Adicionalmente, para identificar el objetivo de la realización de</w:t>
      </w:r>
      <w:r w:rsidR="00E30D4F">
        <w:t xml:space="preserve"> cada proyecto, </w:t>
      </w:r>
      <w:r>
        <w:t>existen 12 categorías temáticas</w:t>
      </w:r>
      <w:r w:rsidR="0084513C">
        <w:t xml:space="preserve">: </w:t>
      </w:r>
      <w:r w:rsidR="00292A4B">
        <w:t xml:space="preserve">salud, educación, transportes y vialidades, agua y </w:t>
      </w:r>
      <w:r w:rsidR="00292A4B">
        <w:lastRenderedPageBreak/>
        <w:t>saneamiento, urbanización, cultura y turismo, asistencia social, deporte, seguridad, vivienda, comunicaciones y otros proyectos</w:t>
      </w:r>
      <w:r w:rsidR="0084513C">
        <w:t>. El objetivo de esta tipología, es conocer la distribuc</w:t>
      </w:r>
      <w:r>
        <w:t xml:space="preserve">ión de proyectos existente y las </w:t>
      </w:r>
      <w:r w:rsidR="0084513C">
        <w:t xml:space="preserve">prioridades </w:t>
      </w:r>
      <w:r>
        <w:t>de</w:t>
      </w:r>
      <w:r w:rsidR="0084513C">
        <w:t xml:space="preserve"> inversión en proyectos ejecutados por los </w:t>
      </w:r>
      <w:r w:rsidR="00F04E57">
        <w:t>gobiernos locales</w:t>
      </w:r>
      <w:r>
        <w:t>. Derivado de lo anterior</w:t>
      </w:r>
      <w:r w:rsidR="0084513C">
        <w:t xml:space="preserve">, </w:t>
      </w:r>
      <w:r w:rsidR="0084513C" w:rsidRPr="003B4D06">
        <w:rPr>
          <w:b/>
        </w:rPr>
        <w:t xml:space="preserve">para que este esfuerzo se constituya en una herramienta de rendición de cuentas efectiva, es necesario que los proyectos estén adecuadamente clasificados. </w:t>
      </w:r>
    </w:p>
    <w:p w14:paraId="6F9DC0DF" w14:textId="684B8661" w:rsidR="008645A2" w:rsidRPr="005422F0" w:rsidRDefault="00E30D4F" w:rsidP="008645A2">
      <w:pPr>
        <w:ind w:firstLine="708"/>
      </w:pPr>
      <w:r>
        <w:t>No obstante</w:t>
      </w:r>
      <w:r w:rsidR="000C6AF1">
        <w:t xml:space="preserve">, los proyectos </w:t>
      </w:r>
      <w:r w:rsidR="00B747B1">
        <w:t>en ejecución</w:t>
      </w:r>
      <w:r w:rsidR="00A36093">
        <w:rPr>
          <w:rStyle w:val="Refdenotaalpie"/>
        </w:rPr>
        <w:footnoteReference w:id="12"/>
      </w:r>
      <w:r w:rsidR="00B747B1">
        <w:t xml:space="preserve"> </w:t>
      </w:r>
      <w:r w:rsidR="005C2C4C">
        <w:t xml:space="preserve">cuya clasificación es la menos indicativa, la </w:t>
      </w:r>
      <w:r w:rsidR="000C6AF1">
        <w:t>de</w:t>
      </w:r>
      <w:r w:rsidR="005C2C4C">
        <w:t>:</w:t>
      </w:r>
      <w:r w:rsidR="000C6AF1">
        <w:t xml:space="preserve"> </w:t>
      </w:r>
      <w:r w:rsidR="000C6AF1" w:rsidRPr="003B4D06">
        <w:rPr>
          <w:b/>
        </w:rPr>
        <w:t>“</w:t>
      </w:r>
      <w:r w:rsidR="00292A4B" w:rsidRPr="003B4D06">
        <w:rPr>
          <w:b/>
        </w:rPr>
        <w:t>otros proyectos</w:t>
      </w:r>
      <w:r w:rsidR="000C6AF1" w:rsidRPr="003B4D06">
        <w:rPr>
          <w:b/>
        </w:rPr>
        <w:t>”</w:t>
      </w:r>
      <w:r w:rsidR="005C2C4C" w:rsidRPr="003B4D06">
        <w:rPr>
          <w:b/>
        </w:rPr>
        <w:t>,</w:t>
      </w:r>
      <w:r w:rsidR="000C6AF1" w:rsidRPr="003B4D06">
        <w:rPr>
          <w:b/>
        </w:rPr>
        <w:t xml:space="preserve"> actualmente </w:t>
      </w:r>
      <w:r w:rsidR="003B4D06" w:rsidRPr="003B4D06">
        <w:rPr>
          <w:b/>
        </w:rPr>
        <w:t>representa el</w:t>
      </w:r>
      <w:r w:rsidR="000C6AF1" w:rsidRPr="003B4D06">
        <w:rPr>
          <w:b/>
        </w:rPr>
        <w:t xml:space="preserve"> </w:t>
      </w:r>
      <w:r w:rsidR="00391FFD" w:rsidRPr="003B4D06">
        <w:rPr>
          <w:b/>
        </w:rPr>
        <w:t>1</w:t>
      </w:r>
      <w:r w:rsidR="002C1DFE">
        <w:rPr>
          <w:b/>
        </w:rPr>
        <w:t>0</w:t>
      </w:r>
      <w:r w:rsidR="00391FFD" w:rsidRPr="003B4D06">
        <w:rPr>
          <w:b/>
        </w:rPr>
        <w:t>.</w:t>
      </w:r>
      <w:r w:rsidR="002C1DFE">
        <w:rPr>
          <w:b/>
        </w:rPr>
        <w:t>1</w:t>
      </w:r>
      <w:r w:rsidR="00C70098" w:rsidRPr="003B4D06">
        <w:rPr>
          <w:b/>
        </w:rPr>
        <w:t xml:space="preserve">% </w:t>
      </w:r>
      <w:r w:rsidR="003B4D06" w:rsidRPr="003B4D06">
        <w:rPr>
          <w:b/>
        </w:rPr>
        <w:t xml:space="preserve">de los </w:t>
      </w:r>
      <w:r w:rsidR="00C70098" w:rsidRPr="003B4D06">
        <w:rPr>
          <w:b/>
        </w:rPr>
        <w:t>proyectos de</w:t>
      </w:r>
      <w:r w:rsidR="005C2C4C" w:rsidRPr="003B4D06">
        <w:rPr>
          <w:b/>
        </w:rPr>
        <w:t>l total de</w:t>
      </w:r>
      <w:r w:rsidR="00C70098" w:rsidRPr="003B4D06">
        <w:rPr>
          <w:b/>
        </w:rPr>
        <w:t xml:space="preserve"> </w:t>
      </w:r>
      <w:r w:rsidR="00630F42" w:rsidRPr="003B4D06">
        <w:rPr>
          <w:b/>
        </w:rPr>
        <w:t>120,888</w:t>
      </w:r>
      <w:r w:rsidR="005C2C4C" w:rsidRPr="003B4D06">
        <w:rPr>
          <w:b/>
        </w:rPr>
        <w:t xml:space="preserve"> registrados en el SFU</w:t>
      </w:r>
      <w:r w:rsidR="008645A2">
        <w:t>,</w:t>
      </w:r>
      <w:r w:rsidR="005C2C4C">
        <w:t xml:space="preserve"> lo cual representa un área de oportunidad a nivel nacional</w:t>
      </w:r>
      <w:r w:rsidR="00C03EC0">
        <w:t>.</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44"/>
        <w:gridCol w:w="3037"/>
      </w:tblGrid>
      <w:tr w:rsidR="00516E70" w:rsidRPr="000221ED" w14:paraId="36FCDF7C" w14:textId="77777777" w:rsidTr="005773D1">
        <w:trPr>
          <w:trHeight w:val="170"/>
          <w:tblHeader/>
          <w:jc w:val="center"/>
        </w:trPr>
        <w:tc>
          <w:tcPr>
            <w:tcW w:w="8828" w:type="dxa"/>
            <w:gridSpan w:val="3"/>
            <w:tcBorders>
              <w:top w:val="nil"/>
              <w:left w:val="nil"/>
              <w:right w:val="nil"/>
            </w:tcBorders>
            <w:shd w:val="clear" w:color="auto" w:fill="auto"/>
            <w:noWrap/>
            <w:vAlign w:val="bottom"/>
          </w:tcPr>
          <w:p w14:paraId="11FD218D" w14:textId="77777777" w:rsidR="00516E70" w:rsidRPr="000221ED" w:rsidRDefault="002F416D" w:rsidP="00640183">
            <w:pPr>
              <w:pStyle w:val="Tablas2"/>
              <w:spacing w:line="276" w:lineRule="auto"/>
              <w:rPr>
                <w:rFonts w:eastAsia="Times New Roman" w:cs="Times New Roman"/>
                <w:color w:val="000000"/>
                <w:sz w:val="20"/>
                <w:szCs w:val="20"/>
              </w:rPr>
            </w:pPr>
            <w:r w:rsidRPr="000221ED">
              <w:rPr>
                <w:rFonts w:eastAsia="Times New Roman" w:cs="Times New Roman"/>
                <w:b/>
                <w:bCs/>
                <w:color w:val="000000"/>
                <w:sz w:val="20"/>
                <w:szCs w:val="20"/>
                <w:lang w:eastAsia="es-MX" w:bidi="ar-SA"/>
              </w:rPr>
              <w:t xml:space="preserve">Tabla </w:t>
            </w:r>
            <w:r w:rsidR="0073569A">
              <w:rPr>
                <w:rFonts w:eastAsia="Times New Roman" w:cs="Times New Roman"/>
                <w:b/>
                <w:bCs/>
                <w:color w:val="000000"/>
                <w:sz w:val="20"/>
                <w:szCs w:val="20"/>
                <w:lang w:eastAsia="es-MX" w:bidi="ar-SA"/>
              </w:rPr>
              <w:t>5</w:t>
            </w:r>
            <w:r w:rsidR="00516E70" w:rsidRPr="000221ED">
              <w:rPr>
                <w:rFonts w:eastAsia="Times New Roman" w:cs="Times New Roman"/>
                <w:b/>
                <w:bCs/>
                <w:color w:val="000000"/>
                <w:sz w:val="20"/>
                <w:szCs w:val="20"/>
                <w:lang w:eastAsia="es-MX" w:bidi="ar-SA"/>
              </w:rPr>
              <w:t xml:space="preserve">. </w:t>
            </w:r>
            <w:r w:rsidR="005C2C4C">
              <w:rPr>
                <w:rFonts w:eastAsia="Times New Roman" w:cs="Times New Roman"/>
                <w:b/>
                <w:bCs/>
                <w:color w:val="000000"/>
                <w:sz w:val="20"/>
                <w:szCs w:val="20"/>
                <w:lang w:eastAsia="es-MX" w:bidi="ar-SA"/>
              </w:rPr>
              <w:t>Número y porcentaje de proyectos clasificados como</w:t>
            </w:r>
            <w:r w:rsidR="00516E70" w:rsidRPr="000221ED">
              <w:rPr>
                <w:rFonts w:eastAsia="Times New Roman" w:cs="Times New Roman"/>
                <w:b/>
                <w:bCs/>
                <w:color w:val="000000"/>
                <w:sz w:val="20"/>
                <w:szCs w:val="20"/>
                <w:lang w:eastAsia="es-MX" w:bidi="ar-SA"/>
              </w:rPr>
              <w:t xml:space="preserve"> “otros proyectos</w:t>
            </w:r>
            <w:r w:rsidR="0097032E" w:rsidRPr="000221ED">
              <w:rPr>
                <w:rFonts w:eastAsia="Times New Roman" w:cs="Times New Roman"/>
                <w:b/>
                <w:bCs/>
                <w:color w:val="000000"/>
                <w:sz w:val="20"/>
                <w:szCs w:val="20"/>
                <w:lang w:eastAsia="es-MX" w:bidi="ar-SA"/>
              </w:rPr>
              <w:t>”</w:t>
            </w:r>
            <w:r w:rsidR="005C2C4C">
              <w:rPr>
                <w:rFonts w:eastAsia="Times New Roman" w:cs="Times New Roman"/>
                <w:b/>
                <w:bCs/>
                <w:color w:val="000000"/>
                <w:sz w:val="20"/>
                <w:szCs w:val="20"/>
                <w:lang w:eastAsia="es-MX" w:bidi="ar-SA"/>
              </w:rPr>
              <w:t xml:space="preserve"> </w:t>
            </w:r>
          </w:p>
        </w:tc>
      </w:tr>
      <w:tr w:rsidR="005422F0" w:rsidRPr="000221ED" w14:paraId="589552BB" w14:textId="77777777" w:rsidTr="005773D1">
        <w:trPr>
          <w:trHeight w:val="170"/>
          <w:tblHeader/>
          <w:jc w:val="center"/>
        </w:trPr>
        <w:tc>
          <w:tcPr>
            <w:tcW w:w="2547" w:type="dxa"/>
            <w:shd w:val="clear" w:color="auto" w:fill="00853F"/>
            <w:noWrap/>
            <w:vAlign w:val="center"/>
            <w:hideMark/>
          </w:tcPr>
          <w:p w14:paraId="1E1679E8" w14:textId="77777777" w:rsidR="005422F0" w:rsidRPr="000221ED" w:rsidRDefault="005422F0" w:rsidP="00516E70">
            <w:pPr>
              <w:spacing w:after="0" w:line="240" w:lineRule="auto"/>
              <w:jc w:val="center"/>
              <w:rPr>
                <w:rFonts w:eastAsia="Times New Roman" w:cs="Times New Roman"/>
                <w:color w:val="FFFFFF" w:themeColor="background1"/>
                <w:sz w:val="20"/>
                <w:szCs w:val="20"/>
              </w:rPr>
            </w:pPr>
            <w:r w:rsidRPr="000221ED">
              <w:rPr>
                <w:rFonts w:eastAsia="Times New Roman" w:cs="Times New Roman"/>
                <w:color w:val="FFFFFF" w:themeColor="background1"/>
                <w:sz w:val="20"/>
                <w:szCs w:val="20"/>
              </w:rPr>
              <w:t>Entidad federativa</w:t>
            </w:r>
          </w:p>
        </w:tc>
        <w:tc>
          <w:tcPr>
            <w:tcW w:w="3244" w:type="dxa"/>
            <w:shd w:val="clear" w:color="auto" w:fill="00853F"/>
            <w:noWrap/>
            <w:vAlign w:val="center"/>
            <w:hideMark/>
          </w:tcPr>
          <w:p w14:paraId="5F4F754C" w14:textId="77777777" w:rsidR="005422F0" w:rsidRPr="000221ED" w:rsidRDefault="005422F0" w:rsidP="00516E70">
            <w:pPr>
              <w:spacing w:after="0" w:line="240" w:lineRule="auto"/>
              <w:jc w:val="center"/>
              <w:rPr>
                <w:rFonts w:eastAsia="Times New Roman" w:cs="Times New Roman"/>
                <w:color w:val="FFFFFF" w:themeColor="background1"/>
                <w:sz w:val="20"/>
                <w:szCs w:val="20"/>
              </w:rPr>
            </w:pPr>
            <w:r w:rsidRPr="000221ED">
              <w:rPr>
                <w:rFonts w:eastAsia="Times New Roman" w:cs="Times New Roman"/>
                <w:color w:val="FFFFFF" w:themeColor="background1"/>
                <w:sz w:val="20"/>
                <w:szCs w:val="20"/>
              </w:rPr>
              <w:t xml:space="preserve">Número de proyectos reportado en la categoría de </w:t>
            </w:r>
            <w:r w:rsidR="00CF19F8" w:rsidRPr="000221ED">
              <w:rPr>
                <w:rFonts w:eastAsia="Times New Roman" w:cs="Times New Roman"/>
                <w:color w:val="FFFFFF" w:themeColor="background1"/>
                <w:sz w:val="20"/>
                <w:szCs w:val="20"/>
              </w:rPr>
              <w:t>“</w:t>
            </w:r>
            <w:r w:rsidRPr="000221ED">
              <w:rPr>
                <w:rFonts w:eastAsia="Times New Roman" w:cs="Times New Roman"/>
                <w:color w:val="FFFFFF" w:themeColor="background1"/>
                <w:sz w:val="20"/>
                <w:szCs w:val="20"/>
              </w:rPr>
              <w:t>otros proyectos</w:t>
            </w:r>
            <w:r w:rsidR="00CF19F8" w:rsidRPr="000221ED">
              <w:rPr>
                <w:rFonts w:eastAsia="Times New Roman" w:cs="Times New Roman"/>
                <w:color w:val="FFFFFF" w:themeColor="background1"/>
                <w:sz w:val="20"/>
                <w:szCs w:val="20"/>
              </w:rPr>
              <w:t>”.</w:t>
            </w:r>
          </w:p>
        </w:tc>
        <w:tc>
          <w:tcPr>
            <w:tcW w:w="3037" w:type="dxa"/>
            <w:shd w:val="clear" w:color="auto" w:fill="00853F"/>
            <w:noWrap/>
            <w:vAlign w:val="center"/>
            <w:hideMark/>
          </w:tcPr>
          <w:p w14:paraId="0653D169" w14:textId="77777777" w:rsidR="005422F0" w:rsidRPr="000221ED" w:rsidRDefault="005422F0" w:rsidP="00516E70">
            <w:pPr>
              <w:spacing w:after="0" w:line="240" w:lineRule="auto"/>
              <w:jc w:val="center"/>
              <w:rPr>
                <w:rFonts w:eastAsia="Times New Roman" w:cs="Times New Roman"/>
                <w:color w:val="FFFFFF" w:themeColor="background1"/>
                <w:sz w:val="20"/>
                <w:szCs w:val="20"/>
              </w:rPr>
            </w:pPr>
            <w:r w:rsidRPr="000221ED">
              <w:rPr>
                <w:rFonts w:eastAsia="Times New Roman" w:cs="Times New Roman"/>
                <w:color w:val="FFFFFF" w:themeColor="background1"/>
                <w:sz w:val="20"/>
                <w:szCs w:val="20"/>
              </w:rPr>
              <w:t>Porcentaje respecto al total de proyectos reportado por entidad federativa</w:t>
            </w:r>
          </w:p>
        </w:tc>
      </w:tr>
      <w:tr w:rsidR="00A605B6" w:rsidRPr="000221ED" w14:paraId="6AFCB8AB" w14:textId="77777777" w:rsidTr="005773D1">
        <w:trPr>
          <w:trHeight w:val="170"/>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393A280" w14:textId="346F37E4" w:rsidR="00A605B6" w:rsidRPr="000221ED" w:rsidRDefault="00D43353" w:rsidP="00A605B6">
            <w:pPr>
              <w:spacing w:after="0" w:line="240" w:lineRule="auto"/>
              <w:jc w:val="left"/>
              <w:rPr>
                <w:rFonts w:eastAsia="Times New Roman" w:cs="Times New Roman"/>
                <w:b/>
                <w:color w:val="000000"/>
                <w:sz w:val="20"/>
                <w:szCs w:val="20"/>
              </w:rPr>
            </w:pPr>
            <w:r w:rsidRPr="000221ED">
              <w:rPr>
                <w:b/>
                <w:color w:val="000000"/>
                <w:sz w:val="20"/>
                <w:szCs w:val="20"/>
              </w:rPr>
              <w:t>Nacional</w:t>
            </w:r>
          </w:p>
        </w:tc>
        <w:tc>
          <w:tcPr>
            <w:tcW w:w="3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1CE0F26" w14:textId="77777777" w:rsidR="00A605B6" w:rsidRPr="000221ED" w:rsidRDefault="005773D1" w:rsidP="0012629E">
            <w:pPr>
              <w:spacing w:after="0" w:line="240" w:lineRule="auto"/>
              <w:jc w:val="center"/>
              <w:rPr>
                <w:rFonts w:eastAsia="Times New Roman" w:cs="Times New Roman"/>
                <w:b/>
                <w:color w:val="000000"/>
                <w:sz w:val="20"/>
                <w:szCs w:val="20"/>
              </w:rPr>
            </w:pPr>
            <w:r w:rsidRPr="005773D1">
              <w:rPr>
                <w:b/>
                <w:color w:val="000000"/>
                <w:sz w:val="20"/>
                <w:szCs w:val="20"/>
              </w:rPr>
              <w:t>12,267</w:t>
            </w:r>
          </w:p>
        </w:tc>
        <w:tc>
          <w:tcPr>
            <w:tcW w:w="3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927E804" w14:textId="0AF15B62" w:rsidR="00A605B6" w:rsidRPr="000221ED" w:rsidRDefault="005773D1" w:rsidP="00B86A00">
            <w:pPr>
              <w:spacing w:after="0" w:line="240" w:lineRule="auto"/>
              <w:jc w:val="center"/>
              <w:rPr>
                <w:rFonts w:eastAsia="Times New Roman" w:cs="Times New Roman"/>
                <w:b/>
                <w:color w:val="000000"/>
                <w:sz w:val="20"/>
                <w:szCs w:val="20"/>
              </w:rPr>
            </w:pPr>
            <w:r w:rsidRPr="005773D1">
              <w:rPr>
                <w:b/>
                <w:color w:val="000000"/>
                <w:sz w:val="20"/>
                <w:szCs w:val="20"/>
              </w:rPr>
              <w:t>1</w:t>
            </w:r>
            <w:r w:rsidR="00B86A00">
              <w:rPr>
                <w:b/>
                <w:color w:val="000000"/>
                <w:sz w:val="20"/>
                <w:szCs w:val="20"/>
              </w:rPr>
              <w:t>0</w:t>
            </w:r>
            <w:r w:rsidRPr="005773D1">
              <w:rPr>
                <w:b/>
                <w:color w:val="000000"/>
                <w:sz w:val="20"/>
                <w:szCs w:val="20"/>
              </w:rPr>
              <w:t>.</w:t>
            </w:r>
            <w:r w:rsidR="00B86A00">
              <w:rPr>
                <w:b/>
                <w:color w:val="000000"/>
                <w:sz w:val="20"/>
                <w:szCs w:val="20"/>
              </w:rPr>
              <w:t>1</w:t>
            </w:r>
          </w:p>
        </w:tc>
      </w:tr>
      <w:tr w:rsidR="005773D1" w:rsidRPr="000221ED" w14:paraId="27FAD3EB" w14:textId="77777777" w:rsidTr="00CC2493">
        <w:trPr>
          <w:trHeight w:val="17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57972" w14:textId="77777777" w:rsidR="005773D1" w:rsidRPr="000221ED" w:rsidRDefault="005773D1" w:rsidP="005773D1">
            <w:pPr>
              <w:spacing w:after="0" w:line="240" w:lineRule="auto"/>
              <w:jc w:val="left"/>
              <w:rPr>
                <w:color w:val="000000"/>
                <w:sz w:val="20"/>
                <w:szCs w:val="20"/>
              </w:rPr>
            </w:pPr>
            <w:r>
              <w:rPr>
                <w:color w:val="000000"/>
                <w:sz w:val="20"/>
                <w:szCs w:val="20"/>
              </w:rPr>
              <w:t>Baja California Sur</w:t>
            </w:r>
          </w:p>
        </w:tc>
        <w:tc>
          <w:tcPr>
            <w:tcW w:w="3244" w:type="dxa"/>
            <w:tcBorders>
              <w:top w:val="single" w:sz="4" w:space="0" w:color="auto"/>
              <w:left w:val="nil"/>
              <w:bottom w:val="single" w:sz="4" w:space="0" w:color="auto"/>
              <w:right w:val="single" w:sz="4" w:space="0" w:color="auto"/>
            </w:tcBorders>
            <w:shd w:val="clear" w:color="auto" w:fill="auto"/>
            <w:noWrap/>
            <w:vAlign w:val="bottom"/>
          </w:tcPr>
          <w:p w14:paraId="1050F80A" w14:textId="77777777" w:rsidR="005773D1" w:rsidRPr="000221ED" w:rsidRDefault="005773D1" w:rsidP="005773D1">
            <w:pPr>
              <w:spacing w:after="0" w:line="240" w:lineRule="auto"/>
              <w:jc w:val="center"/>
              <w:rPr>
                <w:color w:val="000000"/>
                <w:sz w:val="20"/>
                <w:szCs w:val="20"/>
              </w:rPr>
            </w:pPr>
            <w:r>
              <w:rPr>
                <w:color w:val="000000"/>
                <w:sz w:val="20"/>
                <w:szCs w:val="20"/>
              </w:rPr>
              <w:t>266</w:t>
            </w:r>
          </w:p>
        </w:tc>
        <w:tc>
          <w:tcPr>
            <w:tcW w:w="3037" w:type="dxa"/>
            <w:tcBorders>
              <w:top w:val="single" w:sz="4" w:space="0" w:color="auto"/>
              <w:left w:val="nil"/>
              <w:bottom w:val="single" w:sz="4" w:space="0" w:color="auto"/>
              <w:right w:val="single" w:sz="4" w:space="0" w:color="auto"/>
            </w:tcBorders>
            <w:shd w:val="clear" w:color="auto" w:fill="auto"/>
            <w:noWrap/>
            <w:vAlign w:val="bottom"/>
          </w:tcPr>
          <w:p w14:paraId="0D484139" w14:textId="77777777" w:rsidR="005773D1" w:rsidRPr="000221ED" w:rsidRDefault="005773D1" w:rsidP="005773D1">
            <w:pPr>
              <w:spacing w:after="0" w:line="240" w:lineRule="auto"/>
              <w:jc w:val="center"/>
              <w:rPr>
                <w:color w:val="000000"/>
                <w:sz w:val="20"/>
                <w:szCs w:val="20"/>
              </w:rPr>
            </w:pPr>
            <w:r>
              <w:rPr>
                <w:color w:val="000000"/>
                <w:sz w:val="20"/>
                <w:szCs w:val="20"/>
              </w:rPr>
              <w:t>38.2</w:t>
            </w:r>
          </w:p>
        </w:tc>
      </w:tr>
      <w:tr w:rsidR="005773D1" w:rsidRPr="000221ED" w14:paraId="14BF8E48"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CA0984A"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Ciudad de México</w:t>
            </w:r>
          </w:p>
        </w:tc>
        <w:tc>
          <w:tcPr>
            <w:tcW w:w="3244" w:type="dxa"/>
            <w:tcBorders>
              <w:top w:val="nil"/>
              <w:left w:val="nil"/>
              <w:bottom w:val="single" w:sz="4" w:space="0" w:color="auto"/>
              <w:right w:val="single" w:sz="4" w:space="0" w:color="auto"/>
            </w:tcBorders>
            <w:shd w:val="clear" w:color="auto" w:fill="auto"/>
            <w:noWrap/>
            <w:vAlign w:val="bottom"/>
            <w:hideMark/>
          </w:tcPr>
          <w:p w14:paraId="17FF386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234</w:t>
            </w:r>
          </w:p>
        </w:tc>
        <w:tc>
          <w:tcPr>
            <w:tcW w:w="3037" w:type="dxa"/>
            <w:tcBorders>
              <w:top w:val="nil"/>
              <w:left w:val="nil"/>
              <w:bottom w:val="single" w:sz="4" w:space="0" w:color="auto"/>
              <w:right w:val="single" w:sz="4" w:space="0" w:color="auto"/>
            </w:tcBorders>
            <w:shd w:val="clear" w:color="auto" w:fill="auto"/>
            <w:noWrap/>
            <w:vAlign w:val="bottom"/>
            <w:hideMark/>
          </w:tcPr>
          <w:p w14:paraId="3522D7DA"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31.0</w:t>
            </w:r>
          </w:p>
        </w:tc>
      </w:tr>
      <w:tr w:rsidR="005773D1" w:rsidRPr="000221ED" w14:paraId="64E23297"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C2099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Quintana Roo</w:t>
            </w:r>
          </w:p>
        </w:tc>
        <w:tc>
          <w:tcPr>
            <w:tcW w:w="3244" w:type="dxa"/>
            <w:tcBorders>
              <w:top w:val="nil"/>
              <w:left w:val="nil"/>
              <w:bottom w:val="single" w:sz="4" w:space="0" w:color="auto"/>
              <w:right w:val="single" w:sz="4" w:space="0" w:color="auto"/>
            </w:tcBorders>
            <w:shd w:val="clear" w:color="auto" w:fill="auto"/>
            <w:noWrap/>
            <w:vAlign w:val="bottom"/>
            <w:hideMark/>
          </w:tcPr>
          <w:p w14:paraId="15F6D0DB"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389</w:t>
            </w:r>
          </w:p>
        </w:tc>
        <w:tc>
          <w:tcPr>
            <w:tcW w:w="3037" w:type="dxa"/>
            <w:tcBorders>
              <w:top w:val="nil"/>
              <w:left w:val="nil"/>
              <w:bottom w:val="single" w:sz="4" w:space="0" w:color="auto"/>
              <w:right w:val="single" w:sz="4" w:space="0" w:color="auto"/>
            </w:tcBorders>
            <w:shd w:val="clear" w:color="auto" w:fill="auto"/>
            <w:noWrap/>
            <w:vAlign w:val="bottom"/>
            <w:hideMark/>
          </w:tcPr>
          <w:p w14:paraId="38B723B9"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26.0</w:t>
            </w:r>
          </w:p>
        </w:tc>
      </w:tr>
      <w:tr w:rsidR="005773D1" w:rsidRPr="000221ED" w14:paraId="55B64400"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BBC882"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Guerrero</w:t>
            </w:r>
          </w:p>
        </w:tc>
        <w:tc>
          <w:tcPr>
            <w:tcW w:w="3244" w:type="dxa"/>
            <w:tcBorders>
              <w:top w:val="nil"/>
              <w:left w:val="nil"/>
              <w:bottom w:val="single" w:sz="4" w:space="0" w:color="auto"/>
              <w:right w:val="single" w:sz="4" w:space="0" w:color="auto"/>
            </w:tcBorders>
            <w:shd w:val="clear" w:color="auto" w:fill="auto"/>
            <w:noWrap/>
            <w:vAlign w:val="bottom"/>
            <w:hideMark/>
          </w:tcPr>
          <w:p w14:paraId="43081485"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972</w:t>
            </w:r>
          </w:p>
        </w:tc>
        <w:tc>
          <w:tcPr>
            <w:tcW w:w="3037" w:type="dxa"/>
            <w:tcBorders>
              <w:top w:val="nil"/>
              <w:left w:val="nil"/>
              <w:bottom w:val="single" w:sz="4" w:space="0" w:color="auto"/>
              <w:right w:val="single" w:sz="4" w:space="0" w:color="auto"/>
            </w:tcBorders>
            <w:shd w:val="clear" w:color="auto" w:fill="auto"/>
            <w:noWrap/>
            <w:vAlign w:val="bottom"/>
            <w:hideMark/>
          </w:tcPr>
          <w:p w14:paraId="2807FE5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16.7</w:t>
            </w:r>
          </w:p>
        </w:tc>
      </w:tr>
      <w:tr w:rsidR="005773D1" w:rsidRPr="000221ED" w14:paraId="376C7F5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5B8466"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Jalisco</w:t>
            </w:r>
          </w:p>
        </w:tc>
        <w:tc>
          <w:tcPr>
            <w:tcW w:w="3244" w:type="dxa"/>
            <w:tcBorders>
              <w:top w:val="nil"/>
              <w:left w:val="nil"/>
              <w:bottom w:val="single" w:sz="4" w:space="0" w:color="auto"/>
              <w:right w:val="single" w:sz="4" w:space="0" w:color="auto"/>
            </w:tcBorders>
            <w:shd w:val="clear" w:color="auto" w:fill="auto"/>
            <w:noWrap/>
            <w:vAlign w:val="bottom"/>
            <w:hideMark/>
          </w:tcPr>
          <w:p w14:paraId="6DF3131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341</w:t>
            </w:r>
          </w:p>
        </w:tc>
        <w:tc>
          <w:tcPr>
            <w:tcW w:w="3037" w:type="dxa"/>
            <w:tcBorders>
              <w:top w:val="nil"/>
              <w:left w:val="nil"/>
              <w:bottom w:val="single" w:sz="4" w:space="0" w:color="auto"/>
              <w:right w:val="single" w:sz="4" w:space="0" w:color="auto"/>
            </w:tcBorders>
            <w:shd w:val="clear" w:color="auto" w:fill="auto"/>
            <w:noWrap/>
            <w:vAlign w:val="bottom"/>
            <w:hideMark/>
          </w:tcPr>
          <w:p w14:paraId="212F8776"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16.6</w:t>
            </w:r>
          </w:p>
        </w:tc>
      </w:tr>
      <w:tr w:rsidR="005773D1" w:rsidRPr="000221ED" w14:paraId="4DA1E41A"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85D7B9A"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Aguascalientes</w:t>
            </w:r>
          </w:p>
        </w:tc>
        <w:tc>
          <w:tcPr>
            <w:tcW w:w="3244" w:type="dxa"/>
            <w:tcBorders>
              <w:top w:val="nil"/>
              <w:left w:val="nil"/>
              <w:bottom w:val="single" w:sz="4" w:space="0" w:color="auto"/>
              <w:right w:val="single" w:sz="4" w:space="0" w:color="auto"/>
            </w:tcBorders>
            <w:shd w:val="clear" w:color="auto" w:fill="auto"/>
            <w:noWrap/>
            <w:vAlign w:val="bottom"/>
            <w:hideMark/>
          </w:tcPr>
          <w:p w14:paraId="155BA4BB"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171</w:t>
            </w:r>
          </w:p>
        </w:tc>
        <w:tc>
          <w:tcPr>
            <w:tcW w:w="3037" w:type="dxa"/>
            <w:tcBorders>
              <w:top w:val="nil"/>
              <w:left w:val="nil"/>
              <w:bottom w:val="single" w:sz="4" w:space="0" w:color="auto"/>
              <w:right w:val="single" w:sz="4" w:space="0" w:color="auto"/>
            </w:tcBorders>
            <w:shd w:val="clear" w:color="auto" w:fill="auto"/>
            <w:noWrap/>
            <w:vAlign w:val="bottom"/>
            <w:hideMark/>
          </w:tcPr>
          <w:p w14:paraId="77CB4EFB"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16.3</w:t>
            </w:r>
          </w:p>
        </w:tc>
      </w:tr>
      <w:tr w:rsidR="005773D1" w:rsidRPr="000221ED" w14:paraId="4B798873"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6B8891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México</w:t>
            </w:r>
          </w:p>
        </w:tc>
        <w:tc>
          <w:tcPr>
            <w:tcW w:w="3244" w:type="dxa"/>
            <w:tcBorders>
              <w:top w:val="nil"/>
              <w:left w:val="nil"/>
              <w:bottom w:val="single" w:sz="4" w:space="0" w:color="auto"/>
              <w:right w:val="single" w:sz="4" w:space="0" w:color="auto"/>
            </w:tcBorders>
            <w:shd w:val="clear" w:color="auto" w:fill="auto"/>
            <w:noWrap/>
            <w:vAlign w:val="bottom"/>
            <w:hideMark/>
          </w:tcPr>
          <w:p w14:paraId="00703AC9"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1,726</w:t>
            </w:r>
          </w:p>
        </w:tc>
        <w:tc>
          <w:tcPr>
            <w:tcW w:w="3037" w:type="dxa"/>
            <w:tcBorders>
              <w:top w:val="nil"/>
              <w:left w:val="nil"/>
              <w:bottom w:val="single" w:sz="4" w:space="0" w:color="auto"/>
              <w:right w:val="single" w:sz="4" w:space="0" w:color="auto"/>
            </w:tcBorders>
            <w:shd w:val="clear" w:color="auto" w:fill="auto"/>
            <w:noWrap/>
            <w:vAlign w:val="bottom"/>
            <w:hideMark/>
          </w:tcPr>
          <w:p w14:paraId="6C8BD50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16.1</w:t>
            </w:r>
          </w:p>
        </w:tc>
      </w:tr>
      <w:tr w:rsidR="005773D1" w:rsidRPr="000221ED" w14:paraId="5D9C2B1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748DA7"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Nuevo León</w:t>
            </w:r>
          </w:p>
        </w:tc>
        <w:tc>
          <w:tcPr>
            <w:tcW w:w="3244" w:type="dxa"/>
            <w:tcBorders>
              <w:top w:val="nil"/>
              <w:left w:val="nil"/>
              <w:bottom w:val="single" w:sz="4" w:space="0" w:color="auto"/>
              <w:right w:val="single" w:sz="4" w:space="0" w:color="auto"/>
            </w:tcBorders>
            <w:shd w:val="clear" w:color="auto" w:fill="auto"/>
            <w:noWrap/>
            <w:vAlign w:val="bottom"/>
            <w:hideMark/>
          </w:tcPr>
          <w:p w14:paraId="626B0C65"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168</w:t>
            </w:r>
          </w:p>
        </w:tc>
        <w:tc>
          <w:tcPr>
            <w:tcW w:w="3037" w:type="dxa"/>
            <w:tcBorders>
              <w:top w:val="nil"/>
              <w:left w:val="nil"/>
              <w:bottom w:val="single" w:sz="4" w:space="0" w:color="auto"/>
              <w:right w:val="single" w:sz="4" w:space="0" w:color="auto"/>
            </w:tcBorders>
            <w:shd w:val="clear" w:color="auto" w:fill="auto"/>
            <w:noWrap/>
            <w:vAlign w:val="bottom"/>
            <w:hideMark/>
          </w:tcPr>
          <w:p w14:paraId="3FC75888"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15.1</w:t>
            </w:r>
          </w:p>
        </w:tc>
      </w:tr>
      <w:tr w:rsidR="005773D1" w:rsidRPr="000221ED" w14:paraId="025CCAEA"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2D77A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Nayarit</w:t>
            </w:r>
          </w:p>
        </w:tc>
        <w:tc>
          <w:tcPr>
            <w:tcW w:w="3244" w:type="dxa"/>
            <w:tcBorders>
              <w:top w:val="nil"/>
              <w:left w:val="nil"/>
              <w:bottom w:val="single" w:sz="4" w:space="0" w:color="auto"/>
              <w:right w:val="single" w:sz="4" w:space="0" w:color="auto"/>
            </w:tcBorders>
            <w:shd w:val="clear" w:color="auto" w:fill="auto"/>
            <w:noWrap/>
            <w:vAlign w:val="bottom"/>
            <w:hideMark/>
          </w:tcPr>
          <w:p w14:paraId="2A54364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230</w:t>
            </w:r>
          </w:p>
        </w:tc>
        <w:tc>
          <w:tcPr>
            <w:tcW w:w="3037" w:type="dxa"/>
            <w:tcBorders>
              <w:top w:val="nil"/>
              <w:left w:val="nil"/>
              <w:bottom w:val="single" w:sz="4" w:space="0" w:color="auto"/>
              <w:right w:val="single" w:sz="4" w:space="0" w:color="auto"/>
            </w:tcBorders>
            <w:shd w:val="clear" w:color="auto" w:fill="auto"/>
            <w:noWrap/>
            <w:vAlign w:val="bottom"/>
            <w:hideMark/>
          </w:tcPr>
          <w:p w14:paraId="7BB24DBA"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14.1</w:t>
            </w:r>
          </w:p>
        </w:tc>
      </w:tr>
      <w:tr w:rsidR="005773D1" w:rsidRPr="000221ED" w14:paraId="34E867C9"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E12DAD"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San Luis Potosí</w:t>
            </w:r>
          </w:p>
        </w:tc>
        <w:tc>
          <w:tcPr>
            <w:tcW w:w="3244" w:type="dxa"/>
            <w:tcBorders>
              <w:top w:val="nil"/>
              <w:left w:val="nil"/>
              <w:bottom w:val="single" w:sz="4" w:space="0" w:color="auto"/>
              <w:right w:val="single" w:sz="4" w:space="0" w:color="auto"/>
            </w:tcBorders>
            <w:shd w:val="clear" w:color="auto" w:fill="auto"/>
            <w:noWrap/>
            <w:vAlign w:val="bottom"/>
            <w:hideMark/>
          </w:tcPr>
          <w:p w14:paraId="25A2284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541</w:t>
            </w:r>
          </w:p>
        </w:tc>
        <w:tc>
          <w:tcPr>
            <w:tcW w:w="3037" w:type="dxa"/>
            <w:tcBorders>
              <w:top w:val="nil"/>
              <w:left w:val="nil"/>
              <w:bottom w:val="single" w:sz="4" w:space="0" w:color="auto"/>
              <w:right w:val="single" w:sz="4" w:space="0" w:color="auto"/>
            </w:tcBorders>
            <w:shd w:val="clear" w:color="auto" w:fill="auto"/>
            <w:noWrap/>
            <w:vAlign w:val="bottom"/>
            <w:hideMark/>
          </w:tcPr>
          <w:p w14:paraId="58F11CBD"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13.6</w:t>
            </w:r>
          </w:p>
        </w:tc>
      </w:tr>
      <w:tr w:rsidR="005773D1" w:rsidRPr="000221ED" w14:paraId="65CBAE79"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2E25DCA"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Campeche</w:t>
            </w:r>
          </w:p>
        </w:tc>
        <w:tc>
          <w:tcPr>
            <w:tcW w:w="3244" w:type="dxa"/>
            <w:tcBorders>
              <w:top w:val="nil"/>
              <w:left w:val="nil"/>
              <w:bottom w:val="single" w:sz="4" w:space="0" w:color="auto"/>
              <w:right w:val="single" w:sz="4" w:space="0" w:color="auto"/>
            </w:tcBorders>
            <w:shd w:val="clear" w:color="auto" w:fill="auto"/>
            <w:noWrap/>
            <w:vAlign w:val="bottom"/>
            <w:hideMark/>
          </w:tcPr>
          <w:p w14:paraId="5134EB1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177</w:t>
            </w:r>
          </w:p>
        </w:tc>
        <w:tc>
          <w:tcPr>
            <w:tcW w:w="3037" w:type="dxa"/>
            <w:tcBorders>
              <w:top w:val="nil"/>
              <w:left w:val="nil"/>
              <w:bottom w:val="single" w:sz="4" w:space="0" w:color="auto"/>
              <w:right w:val="single" w:sz="4" w:space="0" w:color="auto"/>
            </w:tcBorders>
            <w:shd w:val="clear" w:color="auto" w:fill="auto"/>
            <w:noWrap/>
            <w:vAlign w:val="bottom"/>
            <w:hideMark/>
          </w:tcPr>
          <w:p w14:paraId="762ADF76"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11.6</w:t>
            </w:r>
          </w:p>
        </w:tc>
      </w:tr>
      <w:tr w:rsidR="005773D1" w:rsidRPr="000221ED" w14:paraId="70A9DBE2"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F1347E" w14:textId="77777777" w:rsidR="005773D1" w:rsidRPr="000221ED" w:rsidRDefault="005773D1">
            <w:pPr>
              <w:spacing w:after="0" w:line="240" w:lineRule="auto"/>
              <w:jc w:val="left"/>
              <w:rPr>
                <w:rFonts w:eastAsia="Times New Roman" w:cs="Times New Roman"/>
                <w:color w:val="000000"/>
                <w:sz w:val="20"/>
                <w:szCs w:val="20"/>
              </w:rPr>
            </w:pPr>
            <w:r>
              <w:rPr>
                <w:color w:val="000000"/>
                <w:sz w:val="20"/>
                <w:szCs w:val="20"/>
              </w:rPr>
              <w:t>Michoacán</w:t>
            </w:r>
          </w:p>
        </w:tc>
        <w:tc>
          <w:tcPr>
            <w:tcW w:w="3244" w:type="dxa"/>
            <w:tcBorders>
              <w:top w:val="nil"/>
              <w:left w:val="nil"/>
              <w:bottom w:val="single" w:sz="4" w:space="0" w:color="auto"/>
              <w:right w:val="single" w:sz="4" w:space="0" w:color="auto"/>
            </w:tcBorders>
            <w:shd w:val="clear" w:color="auto" w:fill="auto"/>
            <w:noWrap/>
            <w:vAlign w:val="bottom"/>
            <w:hideMark/>
          </w:tcPr>
          <w:p w14:paraId="2D77AC20"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616</w:t>
            </w:r>
          </w:p>
        </w:tc>
        <w:tc>
          <w:tcPr>
            <w:tcW w:w="3037" w:type="dxa"/>
            <w:tcBorders>
              <w:top w:val="nil"/>
              <w:left w:val="nil"/>
              <w:bottom w:val="single" w:sz="4" w:space="0" w:color="auto"/>
              <w:right w:val="single" w:sz="4" w:space="0" w:color="auto"/>
            </w:tcBorders>
            <w:shd w:val="clear" w:color="auto" w:fill="auto"/>
            <w:noWrap/>
            <w:vAlign w:val="bottom"/>
            <w:hideMark/>
          </w:tcPr>
          <w:p w14:paraId="6313261C"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10.9</w:t>
            </w:r>
          </w:p>
        </w:tc>
      </w:tr>
      <w:tr w:rsidR="005773D1" w:rsidRPr="000221ED" w14:paraId="0F91F24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F655387"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Colima</w:t>
            </w:r>
          </w:p>
        </w:tc>
        <w:tc>
          <w:tcPr>
            <w:tcW w:w="3244" w:type="dxa"/>
            <w:tcBorders>
              <w:top w:val="nil"/>
              <w:left w:val="nil"/>
              <w:bottom w:val="single" w:sz="4" w:space="0" w:color="auto"/>
              <w:right w:val="single" w:sz="4" w:space="0" w:color="auto"/>
            </w:tcBorders>
            <w:shd w:val="clear" w:color="auto" w:fill="auto"/>
            <w:noWrap/>
            <w:vAlign w:val="bottom"/>
            <w:hideMark/>
          </w:tcPr>
          <w:p w14:paraId="2D42479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66</w:t>
            </w:r>
          </w:p>
        </w:tc>
        <w:tc>
          <w:tcPr>
            <w:tcW w:w="3037" w:type="dxa"/>
            <w:tcBorders>
              <w:top w:val="nil"/>
              <w:left w:val="nil"/>
              <w:bottom w:val="single" w:sz="4" w:space="0" w:color="auto"/>
              <w:right w:val="single" w:sz="4" w:space="0" w:color="auto"/>
            </w:tcBorders>
            <w:shd w:val="clear" w:color="auto" w:fill="auto"/>
            <w:noWrap/>
            <w:vAlign w:val="bottom"/>
            <w:hideMark/>
          </w:tcPr>
          <w:p w14:paraId="62C08A99"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10.8</w:t>
            </w:r>
          </w:p>
        </w:tc>
      </w:tr>
      <w:tr w:rsidR="005773D1" w:rsidRPr="000221ED" w14:paraId="1D047949"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D07D6A5"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Baja California</w:t>
            </w:r>
          </w:p>
        </w:tc>
        <w:tc>
          <w:tcPr>
            <w:tcW w:w="3244" w:type="dxa"/>
            <w:tcBorders>
              <w:top w:val="nil"/>
              <w:left w:val="nil"/>
              <w:bottom w:val="single" w:sz="4" w:space="0" w:color="auto"/>
              <w:right w:val="single" w:sz="4" w:space="0" w:color="auto"/>
            </w:tcBorders>
            <w:shd w:val="clear" w:color="auto" w:fill="auto"/>
            <w:noWrap/>
            <w:vAlign w:val="bottom"/>
            <w:hideMark/>
          </w:tcPr>
          <w:p w14:paraId="60C25DC4"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266</w:t>
            </w:r>
          </w:p>
        </w:tc>
        <w:tc>
          <w:tcPr>
            <w:tcW w:w="3037" w:type="dxa"/>
            <w:tcBorders>
              <w:top w:val="nil"/>
              <w:left w:val="nil"/>
              <w:bottom w:val="single" w:sz="4" w:space="0" w:color="auto"/>
              <w:right w:val="single" w:sz="4" w:space="0" w:color="auto"/>
            </w:tcBorders>
            <w:shd w:val="clear" w:color="auto" w:fill="auto"/>
            <w:noWrap/>
            <w:vAlign w:val="bottom"/>
            <w:hideMark/>
          </w:tcPr>
          <w:p w14:paraId="1B9422B7"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10.7</w:t>
            </w:r>
          </w:p>
        </w:tc>
      </w:tr>
      <w:tr w:rsidR="005773D1" w:rsidRPr="000221ED" w14:paraId="1385E066"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AD9ED7"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Chihuahua</w:t>
            </w:r>
          </w:p>
        </w:tc>
        <w:tc>
          <w:tcPr>
            <w:tcW w:w="3244" w:type="dxa"/>
            <w:tcBorders>
              <w:top w:val="nil"/>
              <w:left w:val="nil"/>
              <w:bottom w:val="single" w:sz="4" w:space="0" w:color="auto"/>
              <w:right w:val="single" w:sz="4" w:space="0" w:color="auto"/>
            </w:tcBorders>
            <w:shd w:val="clear" w:color="auto" w:fill="auto"/>
            <w:noWrap/>
            <w:vAlign w:val="bottom"/>
            <w:hideMark/>
          </w:tcPr>
          <w:p w14:paraId="52B37638"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361</w:t>
            </w:r>
          </w:p>
        </w:tc>
        <w:tc>
          <w:tcPr>
            <w:tcW w:w="3037" w:type="dxa"/>
            <w:tcBorders>
              <w:top w:val="nil"/>
              <w:left w:val="nil"/>
              <w:bottom w:val="single" w:sz="4" w:space="0" w:color="auto"/>
              <w:right w:val="single" w:sz="4" w:space="0" w:color="auto"/>
            </w:tcBorders>
            <w:shd w:val="clear" w:color="auto" w:fill="auto"/>
            <w:noWrap/>
            <w:vAlign w:val="bottom"/>
            <w:hideMark/>
          </w:tcPr>
          <w:p w14:paraId="49CB338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10.5</w:t>
            </w:r>
          </w:p>
        </w:tc>
      </w:tr>
      <w:tr w:rsidR="005773D1" w:rsidRPr="000221ED" w14:paraId="2AAB1B5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FE6EAB"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Hidalgo</w:t>
            </w:r>
          </w:p>
        </w:tc>
        <w:tc>
          <w:tcPr>
            <w:tcW w:w="3244" w:type="dxa"/>
            <w:tcBorders>
              <w:top w:val="nil"/>
              <w:left w:val="nil"/>
              <w:bottom w:val="single" w:sz="4" w:space="0" w:color="auto"/>
              <w:right w:val="single" w:sz="4" w:space="0" w:color="auto"/>
            </w:tcBorders>
            <w:shd w:val="clear" w:color="auto" w:fill="auto"/>
            <w:noWrap/>
            <w:vAlign w:val="bottom"/>
            <w:hideMark/>
          </w:tcPr>
          <w:p w14:paraId="68E83FC7"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633</w:t>
            </w:r>
          </w:p>
        </w:tc>
        <w:tc>
          <w:tcPr>
            <w:tcW w:w="3037" w:type="dxa"/>
            <w:tcBorders>
              <w:top w:val="nil"/>
              <w:left w:val="nil"/>
              <w:bottom w:val="single" w:sz="4" w:space="0" w:color="auto"/>
              <w:right w:val="single" w:sz="4" w:space="0" w:color="auto"/>
            </w:tcBorders>
            <w:shd w:val="clear" w:color="auto" w:fill="auto"/>
            <w:noWrap/>
            <w:vAlign w:val="bottom"/>
            <w:hideMark/>
          </w:tcPr>
          <w:p w14:paraId="30E3B53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9.4</w:t>
            </w:r>
          </w:p>
        </w:tc>
      </w:tr>
      <w:tr w:rsidR="005773D1" w:rsidRPr="000221ED" w14:paraId="532D3F7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44290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Puebla</w:t>
            </w:r>
          </w:p>
        </w:tc>
        <w:tc>
          <w:tcPr>
            <w:tcW w:w="3244" w:type="dxa"/>
            <w:tcBorders>
              <w:top w:val="nil"/>
              <w:left w:val="nil"/>
              <w:bottom w:val="single" w:sz="4" w:space="0" w:color="auto"/>
              <w:right w:val="single" w:sz="4" w:space="0" w:color="auto"/>
            </w:tcBorders>
            <w:shd w:val="clear" w:color="auto" w:fill="auto"/>
            <w:noWrap/>
            <w:vAlign w:val="bottom"/>
            <w:hideMark/>
          </w:tcPr>
          <w:p w14:paraId="2EE6BE45"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816</w:t>
            </w:r>
          </w:p>
        </w:tc>
        <w:tc>
          <w:tcPr>
            <w:tcW w:w="3037" w:type="dxa"/>
            <w:tcBorders>
              <w:top w:val="nil"/>
              <w:left w:val="nil"/>
              <w:bottom w:val="single" w:sz="4" w:space="0" w:color="auto"/>
              <w:right w:val="single" w:sz="4" w:space="0" w:color="auto"/>
            </w:tcBorders>
            <w:shd w:val="clear" w:color="auto" w:fill="auto"/>
            <w:noWrap/>
            <w:vAlign w:val="bottom"/>
            <w:hideMark/>
          </w:tcPr>
          <w:p w14:paraId="651E36E8"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9.4</w:t>
            </w:r>
          </w:p>
        </w:tc>
      </w:tr>
      <w:tr w:rsidR="005773D1" w:rsidRPr="000221ED" w14:paraId="1C2224D4"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E82D25"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Sinaloa</w:t>
            </w:r>
          </w:p>
        </w:tc>
        <w:tc>
          <w:tcPr>
            <w:tcW w:w="3244" w:type="dxa"/>
            <w:tcBorders>
              <w:top w:val="nil"/>
              <w:left w:val="nil"/>
              <w:bottom w:val="single" w:sz="4" w:space="0" w:color="auto"/>
              <w:right w:val="single" w:sz="4" w:space="0" w:color="auto"/>
            </w:tcBorders>
            <w:shd w:val="clear" w:color="auto" w:fill="auto"/>
            <w:noWrap/>
            <w:vAlign w:val="bottom"/>
            <w:hideMark/>
          </w:tcPr>
          <w:p w14:paraId="2B189C6A"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222</w:t>
            </w:r>
          </w:p>
        </w:tc>
        <w:tc>
          <w:tcPr>
            <w:tcW w:w="3037" w:type="dxa"/>
            <w:tcBorders>
              <w:top w:val="nil"/>
              <w:left w:val="nil"/>
              <w:bottom w:val="single" w:sz="4" w:space="0" w:color="auto"/>
              <w:right w:val="single" w:sz="4" w:space="0" w:color="auto"/>
            </w:tcBorders>
            <w:shd w:val="clear" w:color="auto" w:fill="auto"/>
            <w:noWrap/>
            <w:vAlign w:val="bottom"/>
            <w:hideMark/>
          </w:tcPr>
          <w:p w14:paraId="6A355C48"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9.3</w:t>
            </w:r>
          </w:p>
        </w:tc>
      </w:tr>
      <w:tr w:rsidR="005773D1" w:rsidRPr="000221ED" w14:paraId="669CD776"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EB975B" w14:textId="77777777" w:rsidR="005773D1" w:rsidRPr="000221ED" w:rsidRDefault="005773D1">
            <w:pPr>
              <w:spacing w:after="0" w:line="240" w:lineRule="auto"/>
              <w:jc w:val="left"/>
              <w:rPr>
                <w:rFonts w:eastAsia="Times New Roman" w:cs="Times New Roman"/>
                <w:color w:val="000000"/>
                <w:sz w:val="20"/>
                <w:szCs w:val="20"/>
              </w:rPr>
            </w:pPr>
            <w:r>
              <w:rPr>
                <w:color w:val="000000"/>
                <w:sz w:val="20"/>
                <w:szCs w:val="20"/>
              </w:rPr>
              <w:t>Veracruz</w:t>
            </w:r>
          </w:p>
        </w:tc>
        <w:tc>
          <w:tcPr>
            <w:tcW w:w="3244" w:type="dxa"/>
            <w:tcBorders>
              <w:top w:val="nil"/>
              <w:left w:val="nil"/>
              <w:bottom w:val="single" w:sz="4" w:space="0" w:color="auto"/>
              <w:right w:val="single" w:sz="4" w:space="0" w:color="auto"/>
            </w:tcBorders>
            <w:shd w:val="clear" w:color="auto" w:fill="auto"/>
            <w:noWrap/>
            <w:vAlign w:val="bottom"/>
            <w:hideMark/>
          </w:tcPr>
          <w:p w14:paraId="3D1A5CB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1,028</w:t>
            </w:r>
          </w:p>
        </w:tc>
        <w:tc>
          <w:tcPr>
            <w:tcW w:w="3037" w:type="dxa"/>
            <w:tcBorders>
              <w:top w:val="nil"/>
              <w:left w:val="nil"/>
              <w:bottom w:val="single" w:sz="4" w:space="0" w:color="auto"/>
              <w:right w:val="single" w:sz="4" w:space="0" w:color="auto"/>
            </w:tcBorders>
            <w:shd w:val="clear" w:color="auto" w:fill="auto"/>
            <w:noWrap/>
            <w:vAlign w:val="bottom"/>
            <w:hideMark/>
          </w:tcPr>
          <w:p w14:paraId="3762DBF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9.0</w:t>
            </w:r>
          </w:p>
        </w:tc>
      </w:tr>
      <w:tr w:rsidR="005773D1" w:rsidRPr="000221ED" w14:paraId="427E8798"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02B012"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Tamaulipas</w:t>
            </w:r>
          </w:p>
        </w:tc>
        <w:tc>
          <w:tcPr>
            <w:tcW w:w="3244" w:type="dxa"/>
            <w:tcBorders>
              <w:top w:val="nil"/>
              <w:left w:val="nil"/>
              <w:bottom w:val="single" w:sz="4" w:space="0" w:color="auto"/>
              <w:right w:val="single" w:sz="4" w:space="0" w:color="auto"/>
            </w:tcBorders>
            <w:shd w:val="clear" w:color="auto" w:fill="auto"/>
            <w:noWrap/>
            <w:vAlign w:val="bottom"/>
            <w:hideMark/>
          </w:tcPr>
          <w:p w14:paraId="44297316"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255</w:t>
            </w:r>
          </w:p>
        </w:tc>
        <w:tc>
          <w:tcPr>
            <w:tcW w:w="3037" w:type="dxa"/>
            <w:tcBorders>
              <w:top w:val="nil"/>
              <w:left w:val="nil"/>
              <w:bottom w:val="single" w:sz="4" w:space="0" w:color="auto"/>
              <w:right w:val="single" w:sz="4" w:space="0" w:color="auto"/>
            </w:tcBorders>
            <w:shd w:val="clear" w:color="auto" w:fill="auto"/>
            <w:noWrap/>
            <w:vAlign w:val="bottom"/>
            <w:hideMark/>
          </w:tcPr>
          <w:p w14:paraId="0530F6F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8.4</w:t>
            </w:r>
          </w:p>
        </w:tc>
      </w:tr>
      <w:tr w:rsidR="005773D1" w:rsidRPr="000221ED" w14:paraId="5546EA91"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24985B" w14:textId="77777777" w:rsidR="005773D1" w:rsidRPr="000221ED" w:rsidRDefault="005773D1">
            <w:pPr>
              <w:spacing w:after="0" w:line="240" w:lineRule="auto"/>
              <w:jc w:val="left"/>
              <w:rPr>
                <w:rFonts w:eastAsia="Times New Roman" w:cs="Times New Roman"/>
                <w:color w:val="000000"/>
                <w:sz w:val="20"/>
                <w:szCs w:val="20"/>
              </w:rPr>
            </w:pPr>
            <w:r>
              <w:rPr>
                <w:color w:val="000000"/>
                <w:sz w:val="20"/>
                <w:szCs w:val="20"/>
              </w:rPr>
              <w:lastRenderedPageBreak/>
              <w:t>Coahuila</w:t>
            </w:r>
          </w:p>
        </w:tc>
        <w:tc>
          <w:tcPr>
            <w:tcW w:w="3244" w:type="dxa"/>
            <w:tcBorders>
              <w:top w:val="nil"/>
              <w:left w:val="nil"/>
              <w:bottom w:val="single" w:sz="4" w:space="0" w:color="auto"/>
              <w:right w:val="single" w:sz="4" w:space="0" w:color="auto"/>
            </w:tcBorders>
            <w:shd w:val="clear" w:color="auto" w:fill="auto"/>
            <w:noWrap/>
            <w:vAlign w:val="bottom"/>
            <w:hideMark/>
          </w:tcPr>
          <w:p w14:paraId="15F58F2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220</w:t>
            </w:r>
          </w:p>
        </w:tc>
        <w:tc>
          <w:tcPr>
            <w:tcW w:w="3037" w:type="dxa"/>
            <w:tcBorders>
              <w:top w:val="nil"/>
              <w:left w:val="nil"/>
              <w:bottom w:val="single" w:sz="4" w:space="0" w:color="auto"/>
              <w:right w:val="single" w:sz="4" w:space="0" w:color="auto"/>
            </w:tcBorders>
            <w:shd w:val="clear" w:color="auto" w:fill="auto"/>
            <w:noWrap/>
            <w:vAlign w:val="bottom"/>
            <w:hideMark/>
          </w:tcPr>
          <w:p w14:paraId="0880EE69"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8.3</w:t>
            </w:r>
          </w:p>
        </w:tc>
      </w:tr>
      <w:tr w:rsidR="005773D1" w:rsidRPr="000221ED" w14:paraId="66704502"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A18DE7"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Zacatecas</w:t>
            </w:r>
          </w:p>
        </w:tc>
        <w:tc>
          <w:tcPr>
            <w:tcW w:w="3244" w:type="dxa"/>
            <w:tcBorders>
              <w:top w:val="nil"/>
              <w:left w:val="nil"/>
              <w:bottom w:val="single" w:sz="4" w:space="0" w:color="auto"/>
              <w:right w:val="single" w:sz="4" w:space="0" w:color="auto"/>
            </w:tcBorders>
            <w:shd w:val="clear" w:color="auto" w:fill="auto"/>
            <w:noWrap/>
            <w:vAlign w:val="bottom"/>
            <w:hideMark/>
          </w:tcPr>
          <w:p w14:paraId="7CCD867E"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215</w:t>
            </w:r>
          </w:p>
        </w:tc>
        <w:tc>
          <w:tcPr>
            <w:tcW w:w="3037" w:type="dxa"/>
            <w:tcBorders>
              <w:top w:val="nil"/>
              <w:left w:val="nil"/>
              <w:bottom w:val="single" w:sz="4" w:space="0" w:color="auto"/>
              <w:right w:val="single" w:sz="4" w:space="0" w:color="auto"/>
            </w:tcBorders>
            <w:shd w:val="clear" w:color="auto" w:fill="auto"/>
            <w:noWrap/>
            <w:vAlign w:val="bottom"/>
            <w:hideMark/>
          </w:tcPr>
          <w:p w14:paraId="73AD9D16"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7.3</w:t>
            </w:r>
          </w:p>
        </w:tc>
      </w:tr>
      <w:tr w:rsidR="005773D1" w:rsidRPr="000221ED" w14:paraId="4F2D52C2"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C144CD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Guanajuato</w:t>
            </w:r>
          </w:p>
        </w:tc>
        <w:tc>
          <w:tcPr>
            <w:tcW w:w="3244" w:type="dxa"/>
            <w:tcBorders>
              <w:top w:val="nil"/>
              <w:left w:val="nil"/>
              <w:bottom w:val="single" w:sz="4" w:space="0" w:color="auto"/>
              <w:right w:val="single" w:sz="4" w:space="0" w:color="auto"/>
            </w:tcBorders>
            <w:shd w:val="clear" w:color="auto" w:fill="auto"/>
            <w:noWrap/>
            <w:vAlign w:val="bottom"/>
            <w:hideMark/>
          </w:tcPr>
          <w:p w14:paraId="31D4E29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473</w:t>
            </w:r>
          </w:p>
        </w:tc>
        <w:tc>
          <w:tcPr>
            <w:tcW w:w="3037" w:type="dxa"/>
            <w:tcBorders>
              <w:top w:val="nil"/>
              <w:left w:val="nil"/>
              <w:bottom w:val="single" w:sz="4" w:space="0" w:color="auto"/>
              <w:right w:val="single" w:sz="4" w:space="0" w:color="auto"/>
            </w:tcBorders>
            <w:shd w:val="clear" w:color="auto" w:fill="auto"/>
            <w:noWrap/>
            <w:vAlign w:val="bottom"/>
            <w:hideMark/>
          </w:tcPr>
          <w:p w14:paraId="4F06B3D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7.0</w:t>
            </w:r>
          </w:p>
        </w:tc>
      </w:tr>
      <w:tr w:rsidR="005773D1" w:rsidRPr="000221ED" w14:paraId="1C6ED748"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CCC3A8"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Oaxaca</w:t>
            </w:r>
          </w:p>
        </w:tc>
        <w:tc>
          <w:tcPr>
            <w:tcW w:w="3244" w:type="dxa"/>
            <w:tcBorders>
              <w:top w:val="nil"/>
              <w:left w:val="nil"/>
              <w:bottom w:val="single" w:sz="4" w:space="0" w:color="auto"/>
              <w:right w:val="single" w:sz="4" w:space="0" w:color="auto"/>
            </w:tcBorders>
            <w:shd w:val="clear" w:color="auto" w:fill="auto"/>
            <w:noWrap/>
            <w:vAlign w:val="bottom"/>
            <w:hideMark/>
          </w:tcPr>
          <w:p w14:paraId="027ABC15"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675</w:t>
            </w:r>
          </w:p>
        </w:tc>
        <w:tc>
          <w:tcPr>
            <w:tcW w:w="3037" w:type="dxa"/>
            <w:tcBorders>
              <w:top w:val="nil"/>
              <w:left w:val="nil"/>
              <w:bottom w:val="single" w:sz="4" w:space="0" w:color="auto"/>
              <w:right w:val="single" w:sz="4" w:space="0" w:color="auto"/>
            </w:tcBorders>
            <w:shd w:val="clear" w:color="auto" w:fill="auto"/>
            <w:noWrap/>
            <w:vAlign w:val="bottom"/>
            <w:hideMark/>
          </w:tcPr>
          <w:p w14:paraId="398E200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7.0</w:t>
            </w:r>
          </w:p>
        </w:tc>
      </w:tr>
      <w:tr w:rsidR="005773D1" w:rsidRPr="000221ED" w14:paraId="55E88BC3"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3459482"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Tabasco</w:t>
            </w:r>
          </w:p>
        </w:tc>
        <w:tc>
          <w:tcPr>
            <w:tcW w:w="3244" w:type="dxa"/>
            <w:tcBorders>
              <w:top w:val="nil"/>
              <w:left w:val="nil"/>
              <w:bottom w:val="single" w:sz="4" w:space="0" w:color="auto"/>
              <w:right w:val="single" w:sz="4" w:space="0" w:color="auto"/>
            </w:tcBorders>
            <w:shd w:val="clear" w:color="auto" w:fill="auto"/>
            <w:noWrap/>
            <w:vAlign w:val="bottom"/>
            <w:hideMark/>
          </w:tcPr>
          <w:p w14:paraId="7F5F37A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172</w:t>
            </w:r>
          </w:p>
        </w:tc>
        <w:tc>
          <w:tcPr>
            <w:tcW w:w="3037" w:type="dxa"/>
            <w:tcBorders>
              <w:top w:val="nil"/>
              <w:left w:val="nil"/>
              <w:bottom w:val="single" w:sz="4" w:space="0" w:color="auto"/>
              <w:right w:val="single" w:sz="4" w:space="0" w:color="auto"/>
            </w:tcBorders>
            <w:shd w:val="clear" w:color="auto" w:fill="auto"/>
            <w:noWrap/>
            <w:vAlign w:val="bottom"/>
            <w:hideMark/>
          </w:tcPr>
          <w:p w14:paraId="02E63E16"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6.2</w:t>
            </w:r>
          </w:p>
        </w:tc>
      </w:tr>
      <w:tr w:rsidR="005773D1" w:rsidRPr="000221ED" w14:paraId="67143518"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469367"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Durango</w:t>
            </w:r>
          </w:p>
        </w:tc>
        <w:tc>
          <w:tcPr>
            <w:tcW w:w="3244" w:type="dxa"/>
            <w:tcBorders>
              <w:top w:val="nil"/>
              <w:left w:val="nil"/>
              <w:bottom w:val="single" w:sz="4" w:space="0" w:color="auto"/>
              <w:right w:val="single" w:sz="4" w:space="0" w:color="auto"/>
            </w:tcBorders>
            <w:shd w:val="clear" w:color="auto" w:fill="auto"/>
            <w:noWrap/>
            <w:vAlign w:val="bottom"/>
            <w:hideMark/>
          </w:tcPr>
          <w:p w14:paraId="0F91C5EA"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135</w:t>
            </w:r>
          </w:p>
        </w:tc>
        <w:tc>
          <w:tcPr>
            <w:tcW w:w="3037" w:type="dxa"/>
            <w:tcBorders>
              <w:top w:val="nil"/>
              <w:left w:val="nil"/>
              <w:bottom w:val="single" w:sz="4" w:space="0" w:color="auto"/>
              <w:right w:val="single" w:sz="4" w:space="0" w:color="auto"/>
            </w:tcBorders>
            <w:shd w:val="clear" w:color="auto" w:fill="auto"/>
            <w:noWrap/>
            <w:vAlign w:val="bottom"/>
            <w:hideMark/>
          </w:tcPr>
          <w:p w14:paraId="66626045"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6.0</w:t>
            </w:r>
          </w:p>
        </w:tc>
      </w:tr>
      <w:tr w:rsidR="005773D1" w:rsidRPr="000221ED" w14:paraId="2CF9CB55"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45C77E"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Tlaxcala</w:t>
            </w:r>
          </w:p>
        </w:tc>
        <w:tc>
          <w:tcPr>
            <w:tcW w:w="3244" w:type="dxa"/>
            <w:tcBorders>
              <w:top w:val="nil"/>
              <w:left w:val="nil"/>
              <w:bottom w:val="single" w:sz="4" w:space="0" w:color="auto"/>
              <w:right w:val="single" w:sz="4" w:space="0" w:color="auto"/>
            </w:tcBorders>
            <w:shd w:val="clear" w:color="auto" w:fill="auto"/>
            <w:noWrap/>
            <w:vAlign w:val="bottom"/>
            <w:hideMark/>
          </w:tcPr>
          <w:p w14:paraId="4902E438"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142</w:t>
            </w:r>
          </w:p>
        </w:tc>
        <w:tc>
          <w:tcPr>
            <w:tcW w:w="3037" w:type="dxa"/>
            <w:tcBorders>
              <w:top w:val="nil"/>
              <w:left w:val="nil"/>
              <w:bottom w:val="single" w:sz="4" w:space="0" w:color="auto"/>
              <w:right w:val="single" w:sz="4" w:space="0" w:color="auto"/>
            </w:tcBorders>
            <w:shd w:val="clear" w:color="auto" w:fill="auto"/>
            <w:noWrap/>
            <w:vAlign w:val="bottom"/>
            <w:hideMark/>
          </w:tcPr>
          <w:p w14:paraId="0EFA2212"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5.6</w:t>
            </w:r>
          </w:p>
        </w:tc>
      </w:tr>
      <w:tr w:rsidR="005773D1" w:rsidRPr="000221ED" w14:paraId="1FDAB6C2"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FA379A"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Chiapas</w:t>
            </w:r>
          </w:p>
        </w:tc>
        <w:tc>
          <w:tcPr>
            <w:tcW w:w="3244" w:type="dxa"/>
            <w:tcBorders>
              <w:top w:val="nil"/>
              <w:left w:val="nil"/>
              <w:bottom w:val="single" w:sz="4" w:space="0" w:color="auto"/>
              <w:right w:val="single" w:sz="4" w:space="0" w:color="auto"/>
            </w:tcBorders>
            <w:shd w:val="clear" w:color="auto" w:fill="auto"/>
            <w:noWrap/>
            <w:vAlign w:val="bottom"/>
            <w:hideMark/>
          </w:tcPr>
          <w:p w14:paraId="6B33B981"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321</w:t>
            </w:r>
          </w:p>
        </w:tc>
        <w:tc>
          <w:tcPr>
            <w:tcW w:w="3037" w:type="dxa"/>
            <w:tcBorders>
              <w:top w:val="nil"/>
              <w:left w:val="nil"/>
              <w:bottom w:val="single" w:sz="4" w:space="0" w:color="auto"/>
              <w:right w:val="single" w:sz="4" w:space="0" w:color="auto"/>
            </w:tcBorders>
            <w:shd w:val="clear" w:color="auto" w:fill="auto"/>
            <w:noWrap/>
            <w:vAlign w:val="bottom"/>
            <w:hideMark/>
          </w:tcPr>
          <w:p w14:paraId="3A606A4C"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5.4</w:t>
            </w:r>
          </w:p>
        </w:tc>
      </w:tr>
      <w:tr w:rsidR="005773D1" w:rsidRPr="000221ED" w14:paraId="13F049C9"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4A1FF74"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Morelos</w:t>
            </w:r>
          </w:p>
        </w:tc>
        <w:tc>
          <w:tcPr>
            <w:tcW w:w="3244" w:type="dxa"/>
            <w:tcBorders>
              <w:top w:val="nil"/>
              <w:left w:val="nil"/>
              <w:bottom w:val="single" w:sz="4" w:space="0" w:color="auto"/>
              <w:right w:val="single" w:sz="4" w:space="0" w:color="auto"/>
            </w:tcBorders>
            <w:shd w:val="clear" w:color="auto" w:fill="auto"/>
            <w:noWrap/>
            <w:vAlign w:val="bottom"/>
            <w:hideMark/>
          </w:tcPr>
          <w:p w14:paraId="75D1C9D9"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90</w:t>
            </w:r>
          </w:p>
        </w:tc>
        <w:tc>
          <w:tcPr>
            <w:tcW w:w="3037" w:type="dxa"/>
            <w:tcBorders>
              <w:top w:val="nil"/>
              <w:left w:val="nil"/>
              <w:bottom w:val="single" w:sz="4" w:space="0" w:color="auto"/>
              <w:right w:val="single" w:sz="4" w:space="0" w:color="auto"/>
            </w:tcBorders>
            <w:shd w:val="clear" w:color="auto" w:fill="auto"/>
            <w:noWrap/>
            <w:vAlign w:val="bottom"/>
            <w:hideMark/>
          </w:tcPr>
          <w:p w14:paraId="0C397954"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4.8</w:t>
            </w:r>
          </w:p>
        </w:tc>
      </w:tr>
      <w:tr w:rsidR="005773D1" w:rsidRPr="000221ED" w14:paraId="7A091332"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4B5554"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Sonora</w:t>
            </w:r>
          </w:p>
        </w:tc>
        <w:tc>
          <w:tcPr>
            <w:tcW w:w="3244" w:type="dxa"/>
            <w:tcBorders>
              <w:top w:val="nil"/>
              <w:left w:val="nil"/>
              <w:bottom w:val="single" w:sz="4" w:space="0" w:color="auto"/>
              <w:right w:val="single" w:sz="4" w:space="0" w:color="auto"/>
            </w:tcBorders>
            <w:shd w:val="clear" w:color="auto" w:fill="auto"/>
            <w:noWrap/>
            <w:vAlign w:val="bottom"/>
            <w:hideMark/>
          </w:tcPr>
          <w:p w14:paraId="5915188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97</w:t>
            </w:r>
          </w:p>
        </w:tc>
        <w:tc>
          <w:tcPr>
            <w:tcW w:w="3037" w:type="dxa"/>
            <w:tcBorders>
              <w:top w:val="nil"/>
              <w:left w:val="nil"/>
              <w:bottom w:val="single" w:sz="4" w:space="0" w:color="auto"/>
              <w:right w:val="single" w:sz="4" w:space="0" w:color="auto"/>
            </w:tcBorders>
            <w:shd w:val="clear" w:color="auto" w:fill="auto"/>
            <w:noWrap/>
            <w:vAlign w:val="bottom"/>
            <w:hideMark/>
          </w:tcPr>
          <w:p w14:paraId="195C03C3"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4.5</w:t>
            </w:r>
          </w:p>
        </w:tc>
      </w:tr>
      <w:tr w:rsidR="005773D1" w:rsidRPr="000221ED" w14:paraId="6664C8D5"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93270AE"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Querétaro</w:t>
            </w:r>
          </w:p>
        </w:tc>
        <w:tc>
          <w:tcPr>
            <w:tcW w:w="3244" w:type="dxa"/>
            <w:tcBorders>
              <w:top w:val="nil"/>
              <w:left w:val="nil"/>
              <w:bottom w:val="single" w:sz="4" w:space="0" w:color="auto"/>
              <w:right w:val="single" w:sz="4" w:space="0" w:color="auto"/>
            </w:tcBorders>
            <w:shd w:val="clear" w:color="auto" w:fill="auto"/>
            <w:noWrap/>
            <w:vAlign w:val="bottom"/>
            <w:hideMark/>
          </w:tcPr>
          <w:p w14:paraId="2F19A571"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82</w:t>
            </w:r>
          </w:p>
        </w:tc>
        <w:tc>
          <w:tcPr>
            <w:tcW w:w="3037" w:type="dxa"/>
            <w:tcBorders>
              <w:top w:val="nil"/>
              <w:left w:val="nil"/>
              <w:bottom w:val="single" w:sz="4" w:space="0" w:color="auto"/>
              <w:right w:val="single" w:sz="4" w:space="0" w:color="auto"/>
            </w:tcBorders>
            <w:shd w:val="clear" w:color="auto" w:fill="auto"/>
            <w:noWrap/>
            <w:vAlign w:val="bottom"/>
            <w:hideMark/>
          </w:tcPr>
          <w:p w14:paraId="05ECBEEA"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4.2</w:t>
            </w:r>
          </w:p>
        </w:tc>
      </w:tr>
      <w:tr w:rsidR="005773D1" w:rsidRPr="000221ED" w14:paraId="61C2FFD0" w14:textId="77777777" w:rsidTr="00CC2493">
        <w:trPr>
          <w:trHeight w:val="1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3798B90" w14:textId="77777777" w:rsidR="005773D1" w:rsidRPr="000221ED" w:rsidRDefault="005773D1" w:rsidP="005773D1">
            <w:pPr>
              <w:spacing w:after="0" w:line="240" w:lineRule="auto"/>
              <w:jc w:val="left"/>
              <w:rPr>
                <w:rFonts w:eastAsia="Times New Roman" w:cs="Times New Roman"/>
                <w:color w:val="000000"/>
                <w:sz w:val="20"/>
                <w:szCs w:val="20"/>
              </w:rPr>
            </w:pPr>
            <w:r>
              <w:rPr>
                <w:color w:val="000000"/>
                <w:sz w:val="20"/>
                <w:szCs w:val="20"/>
              </w:rPr>
              <w:t>Yucatán</w:t>
            </w:r>
          </w:p>
        </w:tc>
        <w:tc>
          <w:tcPr>
            <w:tcW w:w="3244" w:type="dxa"/>
            <w:tcBorders>
              <w:top w:val="nil"/>
              <w:left w:val="nil"/>
              <w:bottom w:val="single" w:sz="4" w:space="0" w:color="auto"/>
              <w:right w:val="single" w:sz="4" w:space="0" w:color="auto"/>
            </w:tcBorders>
            <w:shd w:val="clear" w:color="auto" w:fill="auto"/>
            <w:noWrap/>
            <w:vAlign w:val="bottom"/>
            <w:hideMark/>
          </w:tcPr>
          <w:p w14:paraId="28EBFAA4"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167</w:t>
            </w:r>
          </w:p>
        </w:tc>
        <w:tc>
          <w:tcPr>
            <w:tcW w:w="3037" w:type="dxa"/>
            <w:tcBorders>
              <w:top w:val="nil"/>
              <w:left w:val="nil"/>
              <w:bottom w:val="single" w:sz="4" w:space="0" w:color="auto"/>
              <w:right w:val="single" w:sz="4" w:space="0" w:color="auto"/>
            </w:tcBorders>
            <w:shd w:val="clear" w:color="auto" w:fill="auto"/>
            <w:noWrap/>
            <w:vAlign w:val="bottom"/>
            <w:hideMark/>
          </w:tcPr>
          <w:p w14:paraId="7FFB2B8F" w14:textId="77777777" w:rsidR="005773D1" w:rsidRPr="000221ED" w:rsidRDefault="005773D1" w:rsidP="005773D1">
            <w:pPr>
              <w:spacing w:after="0" w:line="240" w:lineRule="auto"/>
              <w:jc w:val="center"/>
              <w:rPr>
                <w:rFonts w:eastAsia="Times New Roman" w:cs="Times New Roman"/>
                <w:color w:val="000000"/>
                <w:sz w:val="20"/>
                <w:szCs w:val="20"/>
              </w:rPr>
            </w:pPr>
            <w:r>
              <w:rPr>
                <w:color w:val="000000"/>
                <w:sz w:val="20"/>
                <w:szCs w:val="20"/>
              </w:rPr>
              <w:t>4.0</w:t>
            </w:r>
          </w:p>
        </w:tc>
      </w:tr>
    </w:tbl>
    <w:p w14:paraId="10DCB9F0" w14:textId="1F2847C7" w:rsidR="007326AB" w:rsidRPr="00E81B85" w:rsidRDefault="007B4102" w:rsidP="00B86A00">
      <w:pPr>
        <w:spacing w:after="0"/>
        <w:jc w:val="left"/>
        <w:rPr>
          <w:sz w:val="18"/>
        </w:rPr>
      </w:pPr>
      <w:r w:rsidRPr="00E81B85">
        <w:rPr>
          <w:sz w:val="18"/>
        </w:rPr>
        <w:t>Fuente: Unidad de Evaluación del Desempeño</w:t>
      </w:r>
      <w:r w:rsidR="00E81B85">
        <w:rPr>
          <w:sz w:val="18"/>
        </w:rPr>
        <w:t>,</w:t>
      </w:r>
      <w:r w:rsidRPr="00E81B85">
        <w:rPr>
          <w:sz w:val="18"/>
        </w:rPr>
        <w:t xml:space="preserve"> SHCP</w:t>
      </w:r>
      <w:r w:rsidR="00E81B85">
        <w:rPr>
          <w:sz w:val="18"/>
        </w:rPr>
        <w:t>.</w:t>
      </w:r>
    </w:p>
    <w:p w14:paraId="7ED5EAD3" w14:textId="77777777" w:rsidR="001511A7" w:rsidRDefault="003B4D06" w:rsidP="00E81B85">
      <w:pPr>
        <w:spacing w:before="240"/>
        <w:ind w:firstLine="709"/>
      </w:pPr>
      <w:r>
        <w:t>En otro orden de ideas, e</w:t>
      </w:r>
      <w:r w:rsidR="005C2C4C">
        <w:t xml:space="preserve">l </w:t>
      </w:r>
      <w:r w:rsidR="00053B13" w:rsidRPr="009B508D">
        <w:t xml:space="preserve">SFU </w:t>
      </w:r>
      <w:r w:rsidR="005C2C4C">
        <w:t xml:space="preserve">posibilita el registro de los </w:t>
      </w:r>
      <w:r w:rsidR="00053B13" w:rsidRPr="009B508D">
        <w:t xml:space="preserve">cambios de estatus </w:t>
      </w:r>
      <w:r w:rsidR="00053B13">
        <w:t>de los proyectos</w:t>
      </w:r>
      <w:r w:rsidR="005C2C4C">
        <w:t>, de forma que pueda reflejarse el avance y desarrollo de los mismos</w:t>
      </w:r>
      <w:r w:rsidR="00053B13" w:rsidRPr="009B508D">
        <w:t xml:space="preserve">. </w:t>
      </w:r>
      <w:r w:rsidR="00053B13">
        <w:t>Por ello</w:t>
      </w:r>
      <w:r w:rsidR="003D7F6A">
        <w:t xml:space="preserve">, </w:t>
      </w:r>
      <w:r w:rsidR="00053B13">
        <w:t xml:space="preserve">uno de los referentes sobre la calidad del reporte en este nivel del SFU </w:t>
      </w:r>
      <w:r w:rsidR="00982C99">
        <w:t>es el uso adecuado de los estatus</w:t>
      </w:r>
      <w:r>
        <w:t xml:space="preserve"> a continuación</w:t>
      </w:r>
      <w:r w:rsidR="00982C99">
        <w:t>:</w:t>
      </w:r>
    </w:p>
    <w:p w14:paraId="6F9E9B28" w14:textId="77777777" w:rsidR="003D7F6A" w:rsidRPr="0097032E" w:rsidRDefault="00CF19F8" w:rsidP="007014F5">
      <w:pPr>
        <w:pStyle w:val="Tablas2"/>
        <w:spacing w:line="276" w:lineRule="auto"/>
        <w:rPr>
          <w:rFonts w:eastAsia="Times New Roman" w:cs="Times New Roman"/>
          <w:b/>
          <w:bCs/>
          <w:color w:val="000000"/>
          <w:sz w:val="20"/>
          <w:szCs w:val="20"/>
          <w:lang w:eastAsia="es-MX" w:bidi="ar-SA"/>
        </w:rPr>
      </w:pPr>
      <w:r w:rsidRPr="0097032E">
        <w:rPr>
          <w:rFonts w:eastAsia="Times New Roman" w:cs="Times New Roman"/>
          <w:b/>
          <w:bCs/>
          <w:color w:val="000000"/>
          <w:sz w:val="20"/>
          <w:szCs w:val="20"/>
          <w:lang w:eastAsia="es-MX" w:bidi="ar-SA"/>
        </w:rPr>
        <w:t xml:space="preserve">Tabla </w:t>
      </w:r>
      <w:r w:rsidR="0073569A">
        <w:rPr>
          <w:rFonts w:eastAsia="Times New Roman" w:cs="Times New Roman"/>
          <w:b/>
          <w:bCs/>
          <w:color w:val="000000"/>
          <w:sz w:val="20"/>
          <w:szCs w:val="20"/>
          <w:lang w:eastAsia="es-MX" w:bidi="ar-SA"/>
        </w:rPr>
        <w:t>6</w:t>
      </w:r>
      <w:r w:rsidR="007014F5" w:rsidRPr="0097032E">
        <w:rPr>
          <w:rFonts w:eastAsia="Times New Roman" w:cs="Times New Roman"/>
          <w:b/>
          <w:bCs/>
          <w:color w:val="000000"/>
          <w:sz w:val="20"/>
          <w:szCs w:val="20"/>
          <w:lang w:eastAsia="es-MX" w:bidi="ar-SA"/>
        </w:rPr>
        <w:t xml:space="preserve">. </w:t>
      </w:r>
      <w:r w:rsidR="003B4D06">
        <w:rPr>
          <w:rFonts w:eastAsia="Times New Roman" w:cs="Times New Roman"/>
          <w:b/>
          <w:bCs/>
          <w:color w:val="000000"/>
          <w:sz w:val="20"/>
          <w:szCs w:val="20"/>
          <w:lang w:eastAsia="es-MX" w:bidi="ar-SA"/>
        </w:rPr>
        <w:t>Estatus de los proyectos reportados a través del SFU</w:t>
      </w:r>
    </w:p>
    <w:tbl>
      <w:tblPr>
        <w:tblStyle w:val="Tablaconcuadrcula"/>
        <w:tblW w:w="8504" w:type="dxa"/>
        <w:jc w:val="center"/>
        <w:shd w:val="clear" w:color="auto" w:fill="00853F"/>
        <w:tblLayout w:type="fixed"/>
        <w:tblLook w:val="04A0" w:firstRow="1" w:lastRow="0" w:firstColumn="1" w:lastColumn="0" w:noHBand="0" w:noVBand="1"/>
      </w:tblPr>
      <w:tblGrid>
        <w:gridCol w:w="1701"/>
        <w:gridCol w:w="1251"/>
        <w:gridCol w:w="5552"/>
      </w:tblGrid>
      <w:tr w:rsidR="003D7F6A" w:rsidRPr="00661216" w14:paraId="1E40888B" w14:textId="77777777" w:rsidTr="009B508D">
        <w:trPr>
          <w:tblHeader/>
          <w:jc w:val="center"/>
        </w:trPr>
        <w:tc>
          <w:tcPr>
            <w:tcW w:w="1701" w:type="dxa"/>
            <w:shd w:val="clear" w:color="auto" w:fill="00853F"/>
            <w:vAlign w:val="center"/>
          </w:tcPr>
          <w:p w14:paraId="32B34D23" w14:textId="77777777" w:rsidR="003D7F6A" w:rsidRPr="009B508D" w:rsidRDefault="003D7F6A" w:rsidP="00513510">
            <w:pPr>
              <w:spacing w:line="276" w:lineRule="auto"/>
              <w:jc w:val="center"/>
              <w:rPr>
                <w:rFonts w:cstheme="minorBidi"/>
                <w:color w:val="FFFFFF" w:themeColor="background1"/>
                <w:szCs w:val="22"/>
              </w:rPr>
            </w:pPr>
            <w:r w:rsidRPr="009B508D">
              <w:rPr>
                <w:rFonts w:cstheme="minorBidi"/>
                <w:color w:val="FFFFFF" w:themeColor="background1"/>
              </w:rPr>
              <w:t>Estatus</w:t>
            </w:r>
          </w:p>
        </w:tc>
        <w:tc>
          <w:tcPr>
            <w:tcW w:w="1251" w:type="dxa"/>
            <w:shd w:val="clear" w:color="auto" w:fill="00853F"/>
          </w:tcPr>
          <w:p w14:paraId="23A2F815" w14:textId="77777777" w:rsidR="003D7F6A" w:rsidRPr="009B508D" w:rsidRDefault="003D7F6A" w:rsidP="00513510">
            <w:pPr>
              <w:spacing w:line="276" w:lineRule="auto"/>
              <w:jc w:val="center"/>
              <w:rPr>
                <w:rFonts w:cstheme="minorBidi"/>
                <w:color w:val="FFFFFF" w:themeColor="background1"/>
                <w:szCs w:val="22"/>
              </w:rPr>
            </w:pPr>
            <w:r w:rsidRPr="009B508D">
              <w:rPr>
                <w:rFonts w:cstheme="minorBidi"/>
                <w:color w:val="FFFFFF" w:themeColor="background1"/>
              </w:rPr>
              <w:t>Ícono</w:t>
            </w:r>
          </w:p>
        </w:tc>
        <w:tc>
          <w:tcPr>
            <w:tcW w:w="5552" w:type="dxa"/>
            <w:shd w:val="clear" w:color="auto" w:fill="00853F"/>
            <w:vAlign w:val="center"/>
          </w:tcPr>
          <w:p w14:paraId="3E13F23B" w14:textId="77777777" w:rsidR="003D7F6A" w:rsidRPr="009B508D" w:rsidRDefault="003D7F6A" w:rsidP="00513510">
            <w:pPr>
              <w:spacing w:line="276" w:lineRule="auto"/>
              <w:jc w:val="center"/>
              <w:rPr>
                <w:rFonts w:cstheme="minorBidi"/>
                <w:color w:val="FFFFFF" w:themeColor="background1"/>
                <w:szCs w:val="22"/>
              </w:rPr>
            </w:pPr>
            <w:r w:rsidRPr="009B508D">
              <w:rPr>
                <w:rFonts w:cstheme="minorBidi"/>
                <w:color w:val="FFFFFF" w:themeColor="background1"/>
              </w:rPr>
              <w:t>Criterio</w:t>
            </w:r>
          </w:p>
        </w:tc>
      </w:tr>
      <w:tr w:rsidR="003D7F6A" w:rsidRPr="00661216" w14:paraId="7439EA98" w14:textId="77777777" w:rsidTr="009B508D">
        <w:trPr>
          <w:trHeight w:val="680"/>
          <w:jc w:val="center"/>
        </w:trPr>
        <w:tc>
          <w:tcPr>
            <w:tcW w:w="1701" w:type="dxa"/>
            <w:shd w:val="clear" w:color="auto" w:fill="00853F"/>
            <w:vAlign w:val="center"/>
          </w:tcPr>
          <w:p w14:paraId="2CC2FE6F" w14:textId="77777777" w:rsidR="003D7F6A" w:rsidRPr="009B508D" w:rsidRDefault="003D7F6A" w:rsidP="00513510">
            <w:pPr>
              <w:spacing w:line="276" w:lineRule="auto"/>
              <w:contextualSpacing/>
              <w:jc w:val="center"/>
              <w:rPr>
                <w:rFonts w:cstheme="minorBidi"/>
                <w:color w:val="FFFFFF" w:themeColor="background1"/>
                <w:szCs w:val="22"/>
              </w:rPr>
            </w:pPr>
            <w:r w:rsidRPr="009B508D">
              <w:rPr>
                <w:rFonts w:cstheme="minorBidi"/>
                <w:color w:val="FFFFFF" w:themeColor="background1"/>
              </w:rPr>
              <w:t>Terminación</w:t>
            </w:r>
          </w:p>
        </w:tc>
        <w:tc>
          <w:tcPr>
            <w:tcW w:w="1251" w:type="dxa"/>
            <w:vAlign w:val="center"/>
          </w:tcPr>
          <w:p w14:paraId="4FA7BC2B" w14:textId="77777777" w:rsidR="003D7F6A" w:rsidRPr="009B508D" w:rsidRDefault="003D7F6A" w:rsidP="00513510">
            <w:pPr>
              <w:spacing w:line="276" w:lineRule="auto"/>
              <w:contextualSpacing/>
              <w:jc w:val="center"/>
              <w:rPr>
                <w:rFonts w:cstheme="minorBidi"/>
                <w:szCs w:val="22"/>
              </w:rPr>
            </w:pPr>
            <w:r w:rsidRPr="009B508D">
              <w:rPr>
                <w:rFonts w:cstheme="minorBidi"/>
                <w:sz w:val="22"/>
                <w:szCs w:val="22"/>
              </w:rPr>
              <w:object w:dxaOrig="210" w:dyaOrig="255" w14:anchorId="10264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7" o:title=""/>
                </v:shape>
                <o:OLEObject Type="Embed" ProgID="PBrush" ShapeID="_x0000_i1025" DrawAspect="Content" ObjectID="_1521645904" r:id="rId18"/>
              </w:object>
            </w:r>
          </w:p>
        </w:tc>
        <w:tc>
          <w:tcPr>
            <w:tcW w:w="5552" w:type="dxa"/>
            <w:shd w:val="clear" w:color="auto" w:fill="auto"/>
          </w:tcPr>
          <w:p w14:paraId="70EAA146" w14:textId="77777777" w:rsidR="003D7F6A" w:rsidRPr="009B508D" w:rsidRDefault="003D7F6A" w:rsidP="00513510">
            <w:pPr>
              <w:pStyle w:val="Prrafodelista"/>
              <w:numPr>
                <w:ilvl w:val="0"/>
                <w:numId w:val="14"/>
              </w:numPr>
              <w:spacing w:line="276" w:lineRule="auto"/>
              <w:ind w:left="175" w:hanging="141"/>
              <w:rPr>
                <w:rFonts w:cstheme="minorBidi"/>
                <w:szCs w:val="22"/>
              </w:rPr>
            </w:pPr>
            <w:r w:rsidRPr="009B508D">
              <w:rPr>
                <w:rFonts w:cstheme="minorBidi"/>
              </w:rPr>
              <w:t>Los proyectos deben ser terminados cuando su avance físico y financiero ha llegado al 100% y ya se ha integrado con dicho avance en el Informe trimestral que se envía al Congreso.</w:t>
            </w:r>
          </w:p>
        </w:tc>
      </w:tr>
      <w:tr w:rsidR="003D7F6A" w:rsidRPr="00661216" w14:paraId="13E2ABF5" w14:textId="77777777" w:rsidTr="009B508D">
        <w:trPr>
          <w:trHeight w:val="484"/>
          <w:jc w:val="center"/>
        </w:trPr>
        <w:tc>
          <w:tcPr>
            <w:tcW w:w="1701" w:type="dxa"/>
            <w:shd w:val="clear" w:color="auto" w:fill="00853F"/>
            <w:vAlign w:val="center"/>
          </w:tcPr>
          <w:p w14:paraId="6CE9C646" w14:textId="77777777" w:rsidR="003D7F6A" w:rsidRPr="009B508D" w:rsidRDefault="003D7F6A" w:rsidP="00513510">
            <w:pPr>
              <w:spacing w:line="276" w:lineRule="auto"/>
              <w:contextualSpacing/>
              <w:jc w:val="center"/>
              <w:rPr>
                <w:rFonts w:cstheme="minorBidi"/>
                <w:color w:val="FFFFFF" w:themeColor="background1"/>
                <w:szCs w:val="22"/>
              </w:rPr>
            </w:pPr>
            <w:r w:rsidRPr="009B508D">
              <w:rPr>
                <w:rFonts w:cstheme="minorBidi"/>
                <w:color w:val="FFFFFF" w:themeColor="background1"/>
              </w:rPr>
              <w:t>Cancelación</w:t>
            </w:r>
          </w:p>
        </w:tc>
        <w:tc>
          <w:tcPr>
            <w:tcW w:w="1251" w:type="dxa"/>
            <w:vAlign w:val="center"/>
          </w:tcPr>
          <w:p w14:paraId="5F684B69" w14:textId="77777777" w:rsidR="003D7F6A" w:rsidRPr="009B508D" w:rsidRDefault="003D7F6A" w:rsidP="00513510">
            <w:pPr>
              <w:spacing w:line="276" w:lineRule="auto"/>
              <w:contextualSpacing/>
              <w:jc w:val="center"/>
              <w:rPr>
                <w:rFonts w:cstheme="minorBidi"/>
                <w:szCs w:val="22"/>
              </w:rPr>
            </w:pPr>
            <w:r w:rsidRPr="009B508D">
              <w:rPr>
                <w:rFonts w:cstheme="minorBidi"/>
                <w:sz w:val="22"/>
                <w:szCs w:val="22"/>
              </w:rPr>
              <w:object w:dxaOrig="315" w:dyaOrig="330" w14:anchorId="273862C2">
                <v:shape id="_x0000_i1026" type="#_x0000_t75" style="width:21.75pt;height:21.75pt" o:ole="">
                  <v:imagedata r:id="rId19" o:title=""/>
                </v:shape>
                <o:OLEObject Type="Embed" ProgID="PBrush" ShapeID="_x0000_i1026" DrawAspect="Content" ObjectID="_1521645905" r:id="rId20"/>
              </w:object>
            </w:r>
          </w:p>
        </w:tc>
        <w:tc>
          <w:tcPr>
            <w:tcW w:w="5552" w:type="dxa"/>
            <w:shd w:val="clear" w:color="auto" w:fill="auto"/>
          </w:tcPr>
          <w:p w14:paraId="3F21EF35" w14:textId="77777777" w:rsidR="003D7F6A" w:rsidRPr="009B508D" w:rsidRDefault="003D7F6A" w:rsidP="00513510">
            <w:pPr>
              <w:pStyle w:val="Prrafodelista"/>
              <w:numPr>
                <w:ilvl w:val="0"/>
                <w:numId w:val="9"/>
              </w:numPr>
              <w:tabs>
                <w:tab w:val="clear" w:pos="720"/>
                <w:tab w:val="num" w:pos="175"/>
              </w:tabs>
              <w:spacing w:line="276" w:lineRule="auto"/>
              <w:ind w:left="175" w:hanging="175"/>
              <w:rPr>
                <w:rFonts w:cstheme="minorBidi"/>
                <w:szCs w:val="22"/>
              </w:rPr>
            </w:pPr>
            <w:r w:rsidRPr="009B508D">
              <w:rPr>
                <w:rFonts w:cstheme="minorBidi"/>
              </w:rPr>
              <w:t>Los proyectos se cancelan cuando ya no volverán a tener avances, por las razones que deberán explicarse al realizar la cancelación.</w:t>
            </w:r>
          </w:p>
        </w:tc>
      </w:tr>
      <w:tr w:rsidR="003D7F6A" w:rsidRPr="00661216" w14:paraId="63346B4C" w14:textId="77777777" w:rsidTr="009B508D">
        <w:trPr>
          <w:trHeight w:val="142"/>
          <w:jc w:val="center"/>
        </w:trPr>
        <w:tc>
          <w:tcPr>
            <w:tcW w:w="1701" w:type="dxa"/>
            <w:shd w:val="clear" w:color="auto" w:fill="00853F"/>
            <w:vAlign w:val="center"/>
          </w:tcPr>
          <w:p w14:paraId="79EB9876" w14:textId="77777777" w:rsidR="003D7F6A" w:rsidRPr="009B508D" w:rsidRDefault="003D7F6A" w:rsidP="00513510">
            <w:pPr>
              <w:spacing w:line="276" w:lineRule="auto"/>
              <w:contextualSpacing/>
              <w:jc w:val="center"/>
              <w:rPr>
                <w:rFonts w:cstheme="minorBidi"/>
                <w:color w:val="FFFFFF" w:themeColor="background1"/>
                <w:szCs w:val="22"/>
              </w:rPr>
            </w:pPr>
            <w:r w:rsidRPr="009B508D">
              <w:rPr>
                <w:rFonts w:cstheme="minorBidi"/>
                <w:color w:val="FFFFFF" w:themeColor="background1"/>
              </w:rPr>
              <w:t>Suspensión</w:t>
            </w:r>
          </w:p>
        </w:tc>
        <w:tc>
          <w:tcPr>
            <w:tcW w:w="1251" w:type="dxa"/>
            <w:vAlign w:val="center"/>
          </w:tcPr>
          <w:p w14:paraId="5E44EB7D" w14:textId="77777777" w:rsidR="003D7F6A" w:rsidRPr="009B508D" w:rsidRDefault="003D7F6A" w:rsidP="00513510">
            <w:pPr>
              <w:spacing w:line="276" w:lineRule="auto"/>
              <w:contextualSpacing/>
              <w:jc w:val="center"/>
              <w:rPr>
                <w:rFonts w:cstheme="minorBidi"/>
                <w:szCs w:val="22"/>
              </w:rPr>
            </w:pPr>
            <w:r w:rsidRPr="009B508D">
              <w:rPr>
                <w:rFonts w:cstheme="minorBidi"/>
                <w:sz w:val="22"/>
                <w:szCs w:val="22"/>
              </w:rPr>
              <w:object w:dxaOrig="375" w:dyaOrig="375" w14:anchorId="393161AD">
                <v:shape id="_x0000_i1027" type="#_x0000_t75" style="width:21.75pt;height:21.75pt" o:ole="">
                  <v:imagedata r:id="rId21" o:title=""/>
                </v:shape>
                <o:OLEObject Type="Embed" ProgID="PBrush" ShapeID="_x0000_i1027" DrawAspect="Content" ObjectID="_1521645906" r:id="rId22"/>
              </w:object>
            </w:r>
          </w:p>
        </w:tc>
        <w:tc>
          <w:tcPr>
            <w:tcW w:w="5552" w:type="dxa"/>
            <w:shd w:val="clear" w:color="auto" w:fill="auto"/>
          </w:tcPr>
          <w:p w14:paraId="150B07BC" w14:textId="77777777" w:rsidR="003D7F6A" w:rsidRPr="009B508D" w:rsidRDefault="003D7F6A" w:rsidP="00513510">
            <w:pPr>
              <w:pStyle w:val="Prrafodelista"/>
              <w:numPr>
                <w:ilvl w:val="0"/>
                <w:numId w:val="10"/>
              </w:numPr>
              <w:tabs>
                <w:tab w:val="clear" w:pos="720"/>
              </w:tabs>
              <w:spacing w:line="276" w:lineRule="auto"/>
              <w:ind w:left="175" w:hanging="141"/>
              <w:rPr>
                <w:rFonts w:cstheme="minorBidi"/>
                <w:szCs w:val="22"/>
              </w:rPr>
            </w:pPr>
            <w:r w:rsidRPr="009B508D">
              <w:rPr>
                <w:rFonts w:cstheme="minorBidi"/>
              </w:rPr>
              <w:t>Los proyectos se suspenden cuando sabemos que volverán a tener avance, pero en el trimestre actual no tuvieron actualización alguna en relación con el trimestre anterior.</w:t>
            </w:r>
          </w:p>
        </w:tc>
      </w:tr>
      <w:tr w:rsidR="003D7F6A" w:rsidRPr="00661216" w14:paraId="2F3B0801" w14:textId="77777777" w:rsidTr="009B508D">
        <w:trPr>
          <w:jc w:val="center"/>
        </w:trPr>
        <w:tc>
          <w:tcPr>
            <w:tcW w:w="1701" w:type="dxa"/>
            <w:shd w:val="clear" w:color="auto" w:fill="00853F"/>
            <w:vAlign w:val="center"/>
          </w:tcPr>
          <w:p w14:paraId="6D051EB2" w14:textId="77777777" w:rsidR="003D7F6A" w:rsidRPr="009B508D" w:rsidRDefault="003D7F6A" w:rsidP="00513510">
            <w:pPr>
              <w:spacing w:line="276" w:lineRule="auto"/>
              <w:contextualSpacing/>
              <w:jc w:val="center"/>
              <w:rPr>
                <w:rFonts w:cstheme="minorBidi"/>
                <w:color w:val="FFFFFF" w:themeColor="background1"/>
                <w:szCs w:val="22"/>
              </w:rPr>
            </w:pPr>
            <w:r w:rsidRPr="009B508D">
              <w:rPr>
                <w:rFonts w:cstheme="minorBidi"/>
                <w:color w:val="FFFFFF" w:themeColor="background1"/>
              </w:rPr>
              <w:t>Activación</w:t>
            </w:r>
          </w:p>
        </w:tc>
        <w:tc>
          <w:tcPr>
            <w:tcW w:w="1251" w:type="dxa"/>
            <w:vAlign w:val="center"/>
          </w:tcPr>
          <w:p w14:paraId="78777591" w14:textId="77777777" w:rsidR="003D7F6A" w:rsidRPr="009B508D" w:rsidRDefault="003D7F6A" w:rsidP="00513510">
            <w:pPr>
              <w:spacing w:line="276" w:lineRule="auto"/>
              <w:jc w:val="center"/>
              <w:rPr>
                <w:rFonts w:cstheme="minorBidi"/>
                <w:szCs w:val="22"/>
              </w:rPr>
            </w:pPr>
            <w:r w:rsidRPr="009B508D">
              <w:rPr>
                <w:rFonts w:cstheme="minorBidi"/>
                <w:sz w:val="22"/>
                <w:szCs w:val="22"/>
              </w:rPr>
              <w:object w:dxaOrig="435" w:dyaOrig="390" w14:anchorId="367D0257">
                <v:shape id="_x0000_i1028" type="#_x0000_t75" style="width:21.75pt;height:21.75pt" o:ole="">
                  <v:imagedata r:id="rId23" o:title=""/>
                </v:shape>
                <o:OLEObject Type="Embed" ProgID="PBrush" ShapeID="_x0000_i1028" DrawAspect="Content" ObjectID="_1521645907" r:id="rId24"/>
              </w:object>
            </w:r>
          </w:p>
        </w:tc>
        <w:tc>
          <w:tcPr>
            <w:tcW w:w="5552" w:type="dxa"/>
            <w:shd w:val="clear" w:color="auto" w:fill="auto"/>
            <w:vAlign w:val="center"/>
          </w:tcPr>
          <w:p w14:paraId="19E632E4" w14:textId="77777777" w:rsidR="003D7F6A" w:rsidRPr="009B508D" w:rsidRDefault="003D7F6A" w:rsidP="00513510">
            <w:pPr>
              <w:pStyle w:val="Prrafodelista"/>
              <w:numPr>
                <w:ilvl w:val="0"/>
                <w:numId w:val="11"/>
              </w:numPr>
              <w:spacing w:line="276" w:lineRule="auto"/>
              <w:ind w:left="151" w:hanging="151"/>
              <w:rPr>
                <w:rFonts w:cstheme="minorBidi"/>
                <w:szCs w:val="22"/>
              </w:rPr>
            </w:pPr>
            <w:r w:rsidRPr="009B508D">
              <w:rPr>
                <w:rFonts w:cstheme="minorBidi"/>
              </w:rPr>
              <w:t xml:space="preserve">Los proyectos se activan, una vez que vuelven a tener avance. </w:t>
            </w:r>
          </w:p>
        </w:tc>
      </w:tr>
    </w:tbl>
    <w:p w14:paraId="06AEEA87" w14:textId="0C9184BB" w:rsidR="00B747B1" w:rsidRDefault="007B4102" w:rsidP="00E81B85">
      <w:pPr>
        <w:spacing w:after="0"/>
        <w:ind w:firstLine="142"/>
        <w:jc w:val="left"/>
        <w:rPr>
          <w:sz w:val="18"/>
        </w:rPr>
      </w:pPr>
      <w:r w:rsidRPr="00E81B85">
        <w:rPr>
          <w:sz w:val="18"/>
        </w:rPr>
        <w:t>Fuente: Uni</w:t>
      </w:r>
      <w:r w:rsidR="00E81B85">
        <w:rPr>
          <w:sz w:val="18"/>
        </w:rPr>
        <w:t>dad de Evaluación del Desempeño,</w:t>
      </w:r>
      <w:r w:rsidRPr="00E81B85">
        <w:rPr>
          <w:sz w:val="18"/>
        </w:rPr>
        <w:t xml:space="preserve"> SHCP</w:t>
      </w:r>
      <w:r w:rsidR="00E81B85">
        <w:rPr>
          <w:sz w:val="18"/>
        </w:rPr>
        <w:t>.</w:t>
      </w:r>
    </w:p>
    <w:p w14:paraId="7B687B0D" w14:textId="77777777" w:rsidR="001E7EF1" w:rsidRPr="00E81B85" w:rsidRDefault="001E7EF1" w:rsidP="00E81B85">
      <w:pPr>
        <w:spacing w:after="0"/>
        <w:ind w:firstLine="142"/>
        <w:jc w:val="left"/>
        <w:rPr>
          <w:sz w:val="18"/>
        </w:rPr>
      </w:pPr>
    </w:p>
    <w:p w14:paraId="7F68008D" w14:textId="77777777" w:rsidR="003D7F6A" w:rsidRPr="009B508D" w:rsidRDefault="003D7F6A" w:rsidP="00E81B85">
      <w:pPr>
        <w:ind w:firstLine="709"/>
      </w:pPr>
      <w:r w:rsidRPr="009B508D">
        <w:t xml:space="preserve">En este sentido, </w:t>
      </w:r>
      <w:r w:rsidR="00982C99">
        <w:t>es indispensable que los gobiernos locales verifiquen</w:t>
      </w:r>
      <w:r w:rsidRPr="009B508D">
        <w:t xml:space="preserve"> que todos los proyectos que se encuentran</w:t>
      </w:r>
      <w:r w:rsidR="00982C99">
        <w:t xml:space="preserve"> registrados con el estatus</w:t>
      </w:r>
      <w:r w:rsidRPr="009B508D">
        <w:t xml:space="preserve"> “En Ejecución</w:t>
      </w:r>
      <w:r w:rsidR="00982C99">
        <w:t xml:space="preserve">” sean </w:t>
      </w:r>
      <w:r w:rsidRPr="009B508D">
        <w:t xml:space="preserve">proyectos que </w:t>
      </w:r>
      <w:r w:rsidR="0012629E" w:rsidRPr="00982C99">
        <w:rPr>
          <w:b/>
        </w:rPr>
        <w:t>actualmente se están llevando a cabo</w:t>
      </w:r>
      <w:r w:rsidR="00982C99">
        <w:t>, es dec</w:t>
      </w:r>
      <w:r w:rsidR="003B4D06">
        <w:t xml:space="preserve">ir, el SFU solo debe </w:t>
      </w:r>
      <w:r w:rsidR="003B4D06">
        <w:lastRenderedPageBreak/>
        <w:t>contener los avances trimestrales correspondientes a los</w:t>
      </w:r>
      <w:r w:rsidR="00982C99">
        <w:t xml:space="preserve"> proyectos </w:t>
      </w:r>
      <w:r w:rsidR="003B4D06">
        <w:t>que los tuvieron y a los que se les da seguimiento.</w:t>
      </w:r>
      <w:r w:rsidR="00982C99">
        <w:t xml:space="preserve"> </w:t>
      </w:r>
      <w:r w:rsidR="003B4D06">
        <w:t>E</w:t>
      </w:r>
      <w:r w:rsidR="00982C99">
        <w:t>n caso contrario, puede asignarse el estatus correspondiente a la suspensión o cancelación de los mismos</w:t>
      </w:r>
      <w:r w:rsidR="003B4D06">
        <w:t>, para preservar la calidad de la información</w:t>
      </w:r>
      <w:r w:rsidR="00982C99">
        <w:t>.</w:t>
      </w:r>
    </w:p>
    <w:p w14:paraId="53EA1450" w14:textId="77777777" w:rsidR="00E8635E" w:rsidRDefault="00E8635E" w:rsidP="007E61BF">
      <w:pPr>
        <w:pStyle w:val="Ttulo3"/>
      </w:pPr>
      <w:bookmarkStart w:id="11" w:name="_Toc438056035"/>
      <w:bookmarkStart w:id="12" w:name="_Toc447904083"/>
      <w:bookmarkEnd w:id="11"/>
      <w:r>
        <w:t>Avance Financiero</w:t>
      </w:r>
      <w:bookmarkEnd w:id="12"/>
    </w:p>
    <w:p w14:paraId="561A1AE7" w14:textId="77777777" w:rsidR="000E631B" w:rsidRDefault="00B9019F" w:rsidP="000605C8">
      <w:r>
        <w:t xml:space="preserve">La información relativa al ejercicio de los recursos federales transferidos </w:t>
      </w:r>
      <w:r w:rsidR="00845A1F">
        <w:t>representa un reto de homologación del regi</w:t>
      </w:r>
      <w:r w:rsidR="003B4D06">
        <w:t>stro contable que realizan las s</w:t>
      </w:r>
      <w:r w:rsidR="00845A1F">
        <w:t>ecretarías</w:t>
      </w:r>
      <w:r w:rsidR="003B4D06">
        <w:t xml:space="preserve"> de f</w:t>
      </w:r>
      <w:r w:rsidR="00845A1F">
        <w:t>inanzas (o análogas)</w:t>
      </w:r>
      <w:r w:rsidR="00CC2493">
        <w:t xml:space="preserve"> las cuales</w:t>
      </w:r>
      <w:r w:rsidR="00845A1F">
        <w:t xml:space="preserve"> reciben de manera central los recursos que la federaci</w:t>
      </w:r>
      <w:r w:rsidR="003B4D06">
        <w:t xml:space="preserve">ón transfiere. Por ello, </w:t>
      </w:r>
      <w:r w:rsidR="003B4D06" w:rsidRPr="003B4D06">
        <w:rPr>
          <w:b/>
        </w:rPr>
        <w:t>el SFU,</w:t>
      </w:r>
      <w:r w:rsidR="00845A1F" w:rsidRPr="003B4D06">
        <w:rPr>
          <w:b/>
        </w:rPr>
        <w:t xml:space="preserve"> en cumplimiento </w:t>
      </w:r>
      <w:r w:rsidR="003B4D06" w:rsidRPr="003B4D06">
        <w:rPr>
          <w:b/>
        </w:rPr>
        <w:t>de</w:t>
      </w:r>
      <w:r w:rsidR="00845A1F" w:rsidRPr="003B4D06">
        <w:rPr>
          <w:b/>
        </w:rPr>
        <w:t xml:space="preserve"> lo establecido por e</w:t>
      </w:r>
      <w:r w:rsidR="00D76638" w:rsidRPr="003B4D06">
        <w:rPr>
          <w:b/>
        </w:rPr>
        <w:t>l sistema de contabilidad gubernamental</w:t>
      </w:r>
      <w:r w:rsidR="00845A1F" w:rsidRPr="003B4D06">
        <w:rPr>
          <w:b/>
        </w:rPr>
        <w:t>,</w:t>
      </w:r>
      <w:r w:rsidR="00D76638" w:rsidRPr="003B4D06">
        <w:rPr>
          <w:b/>
        </w:rPr>
        <w:t xml:space="preserve"> establece un registro armónico, delimitado y específico de las operaciones presupuestarias y contables</w:t>
      </w:r>
      <w:r w:rsidR="00D76638" w:rsidRPr="00672EA5">
        <w:t>,</w:t>
      </w:r>
      <w:r>
        <w:t xml:space="preserve"> con el fin</w:t>
      </w:r>
      <w:r w:rsidR="00D76638" w:rsidRPr="00672EA5">
        <w:t xml:space="preserve"> </w:t>
      </w:r>
      <w:r>
        <w:t>de contar con</w:t>
      </w:r>
      <w:r w:rsidR="00D76638" w:rsidRPr="00672EA5">
        <w:t xml:space="preserve"> </w:t>
      </w:r>
      <w:r>
        <w:t>información oportuna</w:t>
      </w:r>
      <w:r w:rsidR="00D76638" w:rsidRPr="00F01C1C">
        <w:t>, periódica y comparable</w:t>
      </w:r>
      <w:r>
        <w:t xml:space="preserve">. </w:t>
      </w:r>
      <w:r w:rsidR="003B4D06">
        <w:t>No obstante, no todas las entidades federativas han consolidado sus esfuerzos en este sentido.</w:t>
      </w:r>
    </w:p>
    <w:p w14:paraId="4286E197" w14:textId="77777777" w:rsidR="008F4C19" w:rsidRPr="007B1250" w:rsidRDefault="003B4D06" w:rsidP="00D359D3">
      <w:pPr>
        <w:spacing w:after="0"/>
        <w:ind w:firstLine="708"/>
      </w:pPr>
      <w:r>
        <w:rPr>
          <w:lang w:eastAsia="zh-TW"/>
        </w:rPr>
        <w:t>Por otro lado, a</w:t>
      </w:r>
      <w:r w:rsidR="00845A1F">
        <w:rPr>
          <w:lang w:eastAsia="zh-TW"/>
        </w:rPr>
        <w:t>demás del reto de</w:t>
      </w:r>
      <w:r>
        <w:rPr>
          <w:lang w:eastAsia="zh-TW"/>
        </w:rPr>
        <w:t xml:space="preserve"> la</w:t>
      </w:r>
      <w:r w:rsidR="00845A1F">
        <w:rPr>
          <w:lang w:eastAsia="zh-TW"/>
        </w:rPr>
        <w:t xml:space="preserve"> homologación contable, el reporte del avance financiero a nivel nacional presenta un</w:t>
      </w:r>
      <w:r w:rsidR="00EF3EE8">
        <w:rPr>
          <w:lang w:eastAsia="zh-TW"/>
        </w:rPr>
        <w:t>a</w:t>
      </w:r>
      <w:r w:rsidR="00845A1F">
        <w:rPr>
          <w:lang w:eastAsia="zh-TW"/>
        </w:rPr>
        <w:t xml:space="preserve"> importante área de oportunidad en lo relativo a la completitud de la información registrada. Es decir,</w:t>
      </w:r>
      <w:r w:rsidR="006947AE" w:rsidRPr="00E66C01">
        <w:rPr>
          <w:lang w:eastAsia="zh-TW"/>
        </w:rPr>
        <w:t xml:space="preserve"> </w:t>
      </w:r>
      <w:r w:rsidR="006947AE" w:rsidRPr="003B4D06">
        <w:rPr>
          <w:b/>
          <w:lang w:eastAsia="zh-TW"/>
        </w:rPr>
        <w:t xml:space="preserve">las </w:t>
      </w:r>
      <w:r w:rsidR="00F76F0E" w:rsidRPr="003B4D06">
        <w:rPr>
          <w:b/>
          <w:lang w:eastAsia="zh-TW"/>
        </w:rPr>
        <w:t>entidades federativas</w:t>
      </w:r>
      <w:r w:rsidR="00845A1F" w:rsidRPr="003B4D06">
        <w:rPr>
          <w:b/>
          <w:lang w:eastAsia="zh-TW"/>
        </w:rPr>
        <w:t xml:space="preserve"> no reporta</w:t>
      </w:r>
      <w:r w:rsidR="006947AE" w:rsidRPr="003B4D06">
        <w:rPr>
          <w:b/>
          <w:lang w:eastAsia="zh-TW"/>
        </w:rPr>
        <w:t>n</w:t>
      </w:r>
      <w:r w:rsidR="00E005CA" w:rsidRPr="003B4D06">
        <w:rPr>
          <w:b/>
          <w:lang w:eastAsia="zh-TW"/>
        </w:rPr>
        <w:t xml:space="preserve"> información sobre todos los Pp ni sobre la totalidad</w:t>
      </w:r>
      <w:r w:rsidR="007F5540" w:rsidRPr="003B4D06">
        <w:rPr>
          <w:b/>
          <w:lang w:eastAsia="zh-TW"/>
        </w:rPr>
        <w:t xml:space="preserve"> de los recursos federales </w:t>
      </w:r>
      <w:r w:rsidR="00B335AD" w:rsidRPr="003B4D06">
        <w:rPr>
          <w:b/>
          <w:lang w:eastAsia="zh-TW"/>
        </w:rPr>
        <w:t xml:space="preserve">recaudados </w:t>
      </w:r>
      <w:r w:rsidR="007F5540" w:rsidRPr="003B4D06">
        <w:rPr>
          <w:b/>
          <w:lang w:eastAsia="zh-TW"/>
        </w:rPr>
        <w:t>por cada</w:t>
      </w:r>
      <w:r w:rsidR="006947AE" w:rsidRPr="003B4D06">
        <w:rPr>
          <w:b/>
          <w:lang w:eastAsia="zh-TW"/>
        </w:rPr>
        <w:t xml:space="preserve"> </w:t>
      </w:r>
      <w:r w:rsidR="006947AE" w:rsidRPr="003B4D06">
        <w:rPr>
          <w:b/>
        </w:rPr>
        <w:t>Pp</w:t>
      </w:r>
      <w:r w:rsidR="00E005CA" w:rsidRPr="003B4D06">
        <w:rPr>
          <w:b/>
        </w:rPr>
        <w:t>.</w:t>
      </w:r>
      <w:r w:rsidR="00E005CA">
        <w:t xml:space="preserve"> Para ilustrar lo anterior, la siguiente tabla evidencia</w:t>
      </w:r>
      <w:r w:rsidR="00A0177C">
        <w:t xml:space="preserve"> el</w:t>
      </w:r>
      <w:r w:rsidR="00E005CA">
        <w:t xml:space="preserve"> número de programas presupuestarios</w:t>
      </w:r>
      <w:r w:rsidR="00A0177C">
        <w:t xml:space="preserve"> no reportados</w:t>
      </w:r>
      <w:r w:rsidR="00E005CA">
        <w:t xml:space="preserve"> de </w:t>
      </w:r>
      <w:r w:rsidR="00E005CA" w:rsidRPr="007B1250">
        <w:t xml:space="preserve">los cuales recibieron recursos y a los cuales debe darse seguimiento, </w:t>
      </w:r>
      <w:r w:rsidR="00A0177C" w:rsidRPr="007B1250">
        <w:t xml:space="preserve">así como los reportados </w:t>
      </w:r>
      <w:r w:rsidR="00E005CA" w:rsidRPr="007B1250">
        <w:t>por entidad federativa.</w:t>
      </w:r>
    </w:p>
    <w:p w14:paraId="6C78B592" w14:textId="77777777" w:rsidR="002C1DFE" w:rsidRDefault="002C1DFE">
      <w:pPr>
        <w:spacing w:line="276" w:lineRule="auto"/>
        <w:jc w:val="left"/>
      </w:pPr>
      <w:r>
        <w:br w:type="page"/>
      </w:r>
    </w:p>
    <w:p w14:paraId="6DDA9CC5" w14:textId="77777777" w:rsidR="008D535C" w:rsidRPr="003E7925" w:rsidRDefault="008D535C" w:rsidP="00D359D3">
      <w:pPr>
        <w:spacing w:after="0"/>
        <w:ind w:firstLine="708"/>
      </w:pPr>
    </w:p>
    <w:p w14:paraId="76BD1FC8" w14:textId="77777777" w:rsidR="00D359D3" w:rsidRPr="000D5F91" w:rsidRDefault="00023A0C" w:rsidP="0004720B">
      <w:pPr>
        <w:spacing w:after="0" w:line="240" w:lineRule="auto"/>
        <w:jc w:val="center"/>
        <w:rPr>
          <w:b/>
          <w:sz w:val="20"/>
        </w:rPr>
      </w:pPr>
      <w:r w:rsidRPr="003E7925">
        <w:rPr>
          <w:b/>
          <w:sz w:val="20"/>
        </w:rPr>
        <w:t>Gráfico 8</w:t>
      </w:r>
      <w:r w:rsidR="00076398" w:rsidRPr="003E7925">
        <w:rPr>
          <w:b/>
          <w:sz w:val="20"/>
        </w:rPr>
        <w:t xml:space="preserve">. Número de Programas presupuestarios </w:t>
      </w:r>
      <w:r w:rsidR="00845A1F" w:rsidRPr="003E7925">
        <w:rPr>
          <w:b/>
          <w:sz w:val="20"/>
        </w:rPr>
        <w:t>que</w:t>
      </w:r>
      <w:r w:rsidR="008C3FDB" w:rsidRPr="003E7925">
        <w:rPr>
          <w:b/>
          <w:sz w:val="20"/>
        </w:rPr>
        <w:t xml:space="preserve"> fueron</w:t>
      </w:r>
      <w:r w:rsidR="00845A1F" w:rsidRPr="003E7925">
        <w:rPr>
          <w:b/>
          <w:sz w:val="20"/>
        </w:rPr>
        <w:t xml:space="preserve"> </w:t>
      </w:r>
      <w:r w:rsidRPr="003E7925">
        <w:rPr>
          <w:b/>
          <w:sz w:val="20"/>
        </w:rPr>
        <w:t xml:space="preserve">reportados </w:t>
      </w:r>
      <w:r w:rsidR="008C3FDB" w:rsidRPr="003E7925">
        <w:rPr>
          <w:b/>
          <w:sz w:val="20"/>
        </w:rPr>
        <w:t>o no</w:t>
      </w:r>
      <w:r w:rsidRPr="003E7925">
        <w:rPr>
          <w:b/>
          <w:sz w:val="20"/>
        </w:rPr>
        <w:t xml:space="preserve"> </w:t>
      </w:r>
      <w:r w:rsidR="00076398" w:rsidRPr="003E7925">
        <w:rPr>
          <w:b/>
          <w:sz w:val="20"/>
        </w:rPr>
        <w:t>reportados por Entidad Federativa</w:t>
      </w:r>
      <w:r w:rsidRPr="003E7925">
        <w:rPr>
          <w:b/>
          <w:sz w:val="20"/>
        </w:rPr>
        <w:t xml:space="preserve"> en el cuarto trimestre 2015</w:t>
      </w:r>
    </w:p>
    <w:p w14:paraId="5079435A" w14:textId="77777777" w:rsidR="00AA5439" w:rsidRDefault="003E7925" w:rsidP="00AA5439">
      <w:pPr>
        <w:spacing w:after="0" w:line="240" w:lineRule="auto"/>
        <w:jc w:val="center"/>
        <w:rPr>
          <w:sz w:val="20"/>
          <w:lang w:eastAsia="zh-TW"/>
        </w:rPr>
      </w:pPr>
      <w:r>
        <w:rPr>
          <w:noProof/>
          <w:sz w:val="20"/>
        </w:rPr>
        <w:drawing>
          <wp:inline distT="0" distB="0" distL="0" distR="0" wp14:anchorId="74CF8AEF" wp14:editId="5911F007">
            <wp:extent cx="5610225" cy="65722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0225" cy="6572250"/>
                    </a:xfrm>
                    <a:prstGeom prst="rect">
                      <a:avLst/>
                    </a:prstGeom>
                    <a:noFill/>
                    <a:ln>
                      <a:noFill/>
                    </a:ln>
                  </pic:spPr>
                </pic:pic>
              </a:graphicData>
            </a:graphic>
          </wp:inline>
        </w:drawing>
      </w:r>
    </w:p>
    <w:p w14:paraId="5719ABBC" w14:textId="77777777" w:rsidR="000D5F91" w:rsidRPr="00E81B85" w:rsidRDefault="0073569A" w:rsidP="001E7EF1">
      <w:pPr>
        <w:spacing w:after="0"/>
        <w:jc w:val="left"/>
        <w:rPr>
          <w:sz w:val="18"/>
        </w:rPr>
      </w:pPr>
      <w:r w:rsidRPr="00E81B85">
        <w:rPr>
          <w:sz w:val="18"/>
        </w:rPr>
        <w:t>Fuente: Información del Módulo de Avance Financiero del Sistema de Formato Único.</w:t>
      </w:r>
    </w:p>
    <w:p w14:paraId="0EDE358C" w14:textId="77777777" w:rsidR="000D5F91" w:rsidRDefault="000D5F91" w:rsidP="000D5F91">
      <w:pPr>
        <w:jc w:val="center"/>
        <w:rPr>
          <w:lang w:eastAsia="zh-TW"/>
        </w:rPr>
      </w:pPr>
    </w:p>
    <w:p w14:paraId="7DB90510" w14:textId="77777777" w:rsidR="00845A1F" w:rsidRDefault="00E005CA" w:rsidP="00E81B85">
      <w:pPr>
        <w:spacing w:after="0"/>
        <w:ind w:firstLine="709"/>
      </w:pPr>
      <w:r>
        <w:t xml:space="preserve">Como se mencionó, el segundo </w:t>
      </w:r>
      <w:r w:rsidR="003B4D06">
        <w:t>reto</w:t>
      </w:r>
      <w:r>
        <w:t xml:space="preserve"> </w:t>
      </w:r>
      <w:r w:rsidR="00F37CD3">
        <w:t>para la entrega de</w:t>
      </w:r>
      <w:r>
        <w:t xml:space="preserve"> la información</w:t>
      </w:r>
      <w:r w:rsidR="00F37CD3">
        <w:t xml:space="preserve"> completa en el</w:t>
      </w:r>
      <w:r>
        <w:t xml:space="preserve"> módulo de avance financiero, lo constituye el hecho de que los gobiernos locales </w:t>
      </w:r>
      <w:r>
        <w:lastRenderedPageBreak/>
        <w:t>no reportan la totalidad de los recursos recibidos de la federación para fines específicos (</w:t>
      </w:r>
      <w:r w:rsidR="003E7925">
        <w:t>Gráfico</w:t>
      </w:r>
      <w:r>
        <w:t xml:space="preserve"> </w:t>
      </w:r>
      <w:r w:rsidR="003E7925">
        <w:t>8</w:t>
      </w:r>
      <w:r>
        <w:t>). Lo anterior cobra especial relevancia dado que los recursos asignados a prioridades nacionales</w:t>
      </w:r>
      <w:r w:rsidR="003B4D06">
        <w:t>,</w:t>
      </w:r>
      <w:r>
        <w:t xml:space="preserve"> como educación y medio ambiente</w:t>
      </w:r>
      <w:r w:rsidR="003B4D06">
        <w:t>,</w:t>
      </w:r>
      <w:r>
        <w:t xml:space="preserve"> son en gran medida ejercidos a través de transferencias a los gobiernos locales, como lo muestra la siguiente tabla.</w:t>
      </w:r>
      <w:r w:rsidR="00B11469">
        <w:t xml:space="preserve"> </w:t>
      </w:r>
    </w:p>
    <w:p w14:paraId="3E042269" w14:textId="77777777" w:rsidR="008F4C19" w:rsidRPr="00B11469" w:rsidRDefault="008F4C19" w:rsidP="008F4C19">
      <w:pPr>
        <w:spacing w:after="0"/>
        <w:ind w:firstLine="709"/>
        <w:jc w:val="center"/>
      </w:pPr>
    </w:p>
    <w:tbl>
      <w:tblPr>
        <w:tblW w:w="9558" w:type="dxa"/>
        <w:tblInd w:w="-40" w:type="dxa"/>
        <w:tblCellMar>
          <w:left w:w="0" w:type="dxa"/>
          <w:right w:w="0" w:type="dxa"/>
        </w:tblCellMar>
        <w:tblLook w:val="04A0" w:firstRow="1" w:lastRow="0" w:firstColumn="1" w:lastColumn="0" w:noHBand="0" w:noVBand="1"/>
      </w:tblPr>
      <w:tblGrid>
        <w:gridCol w:w="476"/>
        <w:gridCol w:w="2258"/>
        <w:gridCol w:w="1471"/>
        <w:gridCol w:w="1408"/>
        <w:gridCol w:w="2136"/>
        <w:gridCol w:w="1975"/>
      </w:tblGrid>
      <w:tr w:rsidR="0073569A" w14:paraId="4E19F315" w14:textId="77777777" w:rsidTr="00E24389">
        <w:trPr>
          <w:trHeight w:val="256"/>
          <w:tblHeader/>
        </w:trPr>
        <w:tc>
          <w:tcPr>
            <w:tcW w:w="9558" w:type="dxa"/>
            <w:gridSpan w:val="6"/>
            <w:tcBorders>
              <w:bottom w:val="single" w:sz="4" w:space="0" w:color="auto"/>
            </w:tcBorders>
            <w:shd w:val="clear" w:color="auto" w:fill="auto"/>
            <w:noWrap/>
            <w:tcMar>
              <w:top w:w="0" w:type="dxa"/>
              <w:left w:w="70" w:type="dxa"/>
              <w:bottom w:w="0" w:type="dxa"/>
              <w:right w:w="70" w:type="dxa"/>
            </w:tcMar>
            <w:vAlign w:val="center"/>
          </w:tcPr>
          <w:p w14:paraId="3FA8E9B1" w14:textId="77777777" w:rsidR="0073569A" w:rsidRDefault="003E7925" w:rsidP="00B11469">
            <w:pPr>
              <w:spacing w:after="0" w:line="240" w:lineRule="auto"/>
              <w:jc w:val="center"/>
              <w:rPr>
                <w:color w:val="FFFFFF"/>
                <w:sz w:val="20"/>
                <w:szCs w:val="20"/>
              </w:rPr>
            </w:pPr>
            <w:r>
              <w:rPr>
                <w:b/>
                <w:sz w:val="20"/>
              </w:rPr>
              <w:t>Tabla 7</w:t>
            </w:r>
            <w:r w:rsidR="0073569A" w:rsidRPr="0012629E">
              <w:rPr>
                <w:b/>
                <w:sz w:val="20"/>
              </w:rPr>
              <w:t>. Porcentaje de gasto federalizado respecto al gasto del ramo</w:t>
            </w:r>
          </w:p>
        </w:tc>
      </w:tr>
      <w:tr w:rsidR="00B11469" w14:paraId="6DB5FA8A" w14:textId="77777777" w:rsidTr="00E24389">
        <w:trPr>
          <w:trHeight w:val="952"/>
          <w:tblHeader/>
        </w:trPr>
        <w:tc>
          <w:tcPr>
            <w:tcW w:w="2734" w:type="dxa"/>
            <w:gridSpan w:val="2"/>
            <w:tcBorders>
              <w:top w:val="single" w:sz="4" w:space="0" w:color="auto"/>
              <w:left w:val="single" w:sz="4" w:space="0" w:color="auto"/>
              <w:bottom w:val="single" w:sz="4" w:space="0" w:color="auto"/>
              <w:right w:val="single" w:sz="4" w:space="0" w:color="auto"/>
            </w:tcBorders>
            <w:shd w:val="clear" w:color="auto" w:fill="008542"/>
            <w:noWrap/>
            <w:tcMar>
              <w:top w:w="0" w:type="dxa"/>
              <w:left w:w="70" w:type="dxa"/>
              <w:bottom w:w="0" w:type="dxa"/>
              <w:right w:w="70" w:type="dxa"/>
            </w:tcMar>
            <w:vAlign w:val="center"/>
            <w:hideMark/>
          </w:tcPr>
          <w:p w14:paraId="548F46EB" w14:textId="77777777" w:rsidR="00B11469" w:rsidRPr="00B11469" w:rsidRDefault="00B11469" w:rsidP="00B11469">
            <w:pPr>
              <w:spacing w:after="0" w:line="240" w:lineRule="auto"/>
              <w:jc w:val="center"/>
              <w:rPr>
                <w:color w:val="FFFFFF"/>
                <w:sz w:val="19"/>
                <w:szCs w:val="19"/>
              </w:rPr>
            </w:pPr>
            <w:r w:rsidRPr="00B11469">
              <w:rPr>
                <w:color w:val="FFFFFF"/>
                <w:sz w:val="19"/>
                <w:szCs w:val="19"/>
              </w:rPr>
              <w:t>Ramo</w:t>
            </w:r>
          </w:p>
        </w:tc>
        <w:tc>
          <w:tcPr>
            <w:tcW w:w="1305" w:type="dxa"/>
            <w:tcBorders>
              <w:top w:val="single" w:sz="4" w:space="0" w:color="auto"/>
              <w:left w:val="single" w:sz="4" w:space="0" w:color="auto"/>
              <w:bottom w:val="single" w:sz="4" w:space="0" w:color="auto"/>
              <w:right w:val="single" w:sz="4" w:space="0" w:color="auto"/>
            </w:tcBorders>
            <w:shd w:val="clear" w:color="auto" w:fill="008542"/>
            <w:noWrap/>
            <w:tcMar>
              <w:top w:w="0" w:type="dxa"/>
              <w:left w:w="70" w:type="dxa"/>
              <w:bottom w:w="0" w:type="dxa"/>
              <w:right w:w="70" w:type="dxa"/>
            </w:tcMar>
            <w:vAlign w:val="center"/>
            <w:hideMark/>
          </w:tcPr>
          <w:p w14:paraId="17A07A7E" w14:textId="77777777" w:rsidR="00B11469" w:rsidRPr="00B11469" w:rsidRDefault="00B11469" w:rsidP="00B11469">
            <w:pPr>
              <w:spacing w:after="0" w:line="240" w:lineRule="auto"/>
              <w:jc w:val="center"/>
              <w:rPr>
                <w:color w:val="FFFFFF"/>
                <w:sz w:val="19"/>
                <w:szCs w:val="19"/>
              </w:rPr>
            </w:pPr>
            <w:r w:rsidRPr="00B11469">
              <w:rPr>
                <w:color w:val="FFFFFF"/>
                <w:sz w:val="19"/>
                <w:szCs w:val="19"/>
              </w:rPr>
              <w:t>Monto pagado del Ramo</w:t>
            </w:r>
            <w:r w:rsidR="003B4D06">
              <w:rPr>
                <w:color w:val="FFFFFF"/>
                <w:sz w:val="19"/>
                <w:szCs w:val="19"/>
              </w:rPr>
              <w:t xml:space="preserve"> Presupuestario</w:t>
            </w:r>
          </w:p>
        </w:tc>
        <w:tc>
          <w:tcPr>
            <w:tcW w:w="1408" w:type="dxa"/>
            <w:tcBorders>
              <w:top w:val="single" w:sz="4" w:space="0" w:color="auto"/>
              <w:left w:val="single" w:sz="4" w:space="0" w:color="auto"/>
              <w:bottom w:val="single" w:sz="4" w:space="0" w:color="auto"/>
              <w:right w:val="single" w:sz="4" w:space="0" w:color="auto"/>
            </w:tcBorders>
            <w:shd w:val="clear" w:color="auto" w:fill="008542"/>
            <w:noWrap/>
            <w:tcMar>
              <w:top w:w="0" w:type="dxa"/>
              <w:left w:w="70" w:type="dxa"/>
              <w:bottom w:w="0" w:type="dxa"/>
              <w:right w:w="70" w:type="dxa"/>
            </w:tcMar>
            <w:vAlign w:val="center"/>
            <w:hideMark/>
          </w:tcPr>
          <w:p w14:paraId="0287F471" w14:textId="77777777" w:rsidR="00B11469" w:rsidRPr="00B11469" w:rsidRDefault="00B11469" w:rsidP="00B11469">
            <w:pPr>
              <w:spacing w:after="0" w:line="240" w:lineRule="auto"/>
              <w:jc w:val="center"/>
              <w:rPr>
                <w:color w:val="FFFFFF"/>
                <w:sz w:val="19"/>
                <w:szCs w:val="19"/>
              </w:rPr>
            </w:pPr>
            <w:r w:rsidRPr="00B11469">
              <w:rPr>
                <w:color w:val="FFFFFF"/>
                <w:sz w:val="19"/>
                <w:szCs w:val="19"/>
              </w:rPr>
              <w:t>Recursos Federales transferidos</w:t>
            </w:r>
          </w:p>
        </w:tc>
        <w:tc>
          <w:tcPr>
            <w:tcW w:w="2136" w:type="dxa"/>
            <w:tcBorders>
              <w:top w:val="single" w:sz="4" w:space="0" w:color="auto"/>
              <w:left w:val="single" w:sz="4" w:space="0" w:color="auto"/>
              <w:bottom w:val="single" w:sz="4" w:space="0" w:color="auto"/>
              <w:right w:val="single" w:sz="4" w:space="0" w:color="auto"/>
            </w:tcBorders>
            <w:shd w:val="clear" w:color="auto" w:fill="008542"/>
            <w:noWrap/>
            <w:tcMar>
              <w:top w:w="0" w:type="dxa"/>
              <w:left w:w="70" w:type="dxa"/>
              <w:bottom w:w="0" w:type="dxa"/>
              <w:right w:w="70" w:type="dxa"/>
            </w:tcMar>
            <w:vAlign w:val="center"/>
            <w:hideMark/>
          </w:tcPr>
          <w:p w14:paraId="34B93D29" w14:textId="77777777" w:rsidR="00B11469" w:rsidRPr="00B11469" w:rsidRDefault="00B11469" w:rsidP="00B11469">
            <w:pPr>
              <w:spacing w:after="0" w:line="240" w:lineRule="auto"/>
              <w:jc w:val="center"/>
              <w:rPr>
                <w:color w:val="FFFFFF"/>
                <w:sz w:val="19"/>
                <w:szCs w:val="19"/>
              </w:rPr>
            </w:pPr>
            <w:r w:rsidRPr="00B11469">
              <w:rPr>
                <w:color w:val="FFFFFF"/>
                <w:sz w:val="19"/>
                <w:szCs w:val="19"/>
              </w:rPr>
              <w:t>Porcentaje de recursos federales transferidos respecto al monto pagado</w:t>
            </w:r>
            <w:r w:rsidR="00A343FC">
              <w:rPr>
                <w:color w:val="FFFFFF"/>
                <w:sz w:val="19"/>
                <w:szCs w:val="19"/>
              </w:rPr>
              <w:t xml:space="preserve"> </w:t>
            </w:r>
            <w:r w:rsidR="000F6BFF">
              <w:rPr>
                <w:color w:val="FFFFFF"/>
                <w:sz w:val="19"/>
                <w:szCs w:val="19"/>
              </w:rPr>
              <w:t xml:space="preserve">total </w:t>
            </w:r>
            <w:r w:rsidR="00A343FC">
              <w:rPr>
                <w:color w:val="FFFFFF"/>
                <w:sz w:val="19"/>
                <w:szCs w:val="19"/>
              </w:rPr>
              <w:t>del Ramo</w:t>
            </w:r>
          </w:p>
        </w:tc>
        <w:tc>
          <w:tcPr>
            <w:tcW w:w="1975" w:type="dxa"/>
            <w:tcBorders>
              <w:top w:val="single" w:sz="4" w:space="0" w:color="auto"/>
              <w:left w:val="single" w:sz="4" w:space="0" w:color="auto"/>
              <w:bottom w:val="single" w:sz="4" w:space="0" w:color="auto"/>
              <w:right w:val="single" w:sz="4" w:space="0" w:color="auto"/>
            </w:tcBorders>
            <w:shd w:val="clear" w:color="auto" w:fill="008542"/>
            <w:noWrap/>
            <w:tcMar>
              <w:top w:w="0" w:type="dxa"/>
              <w:left w:w="70" w:type="dxa"/>
              <w:bottom w:w="0" w:type="dxa"/>
              <w:right w:w="70" w:type="dxa"/>
            </w:tcMar>
            <w:vAlign w:val="center"/>
            <w:hideMark/>
          </w:tcPr>
          <w:p w14:paraId="416C2AE2" w14:textId="77777777" w:rsidR="00B11469" w:rsidRPr="00B11469" w:rsidRDefault="000F6BFF">
            <w:pPr>
              <w:spacing w:after="0" w:line="240" w:lineRule="auto"/>
              <w:jc w:val="center"/>
              <w:rPr>
                <w:color w:val="FFFFFF"/>
                <w:sz w:val="19"/>
                <w:szCs w:val="19"/>
              </w:rPr>
            </w:pPr>
            <w:r>
              <w:rPr>
                <w:color w:val="FFFFFF"/>
                <w:sz w:val="19"/>
                <w:szCs w:val="19"/>
              </w:rPr>
              <w:t>Diferencia porcentual</w:t>
            </w:r>
            <w:r w:rsidR="00B11469" w:rsidRPr="00B11469">
              <w:rPr>
                <w:color w:val="FFFFFF"/>
                <w:sz w:val="19"/>
                <w:szCs w:val="19"/>
              </w:rPr>
              <w:t xml:space="preserve"> del monto reportado</w:t>
            </w:r>
            <w:r w:rsidR="00A343FC">
              <w:rPr>
                <w:color w:val="FFFFFF"/>
                <w:sz w:val="19"/>
                <w:szCs w:val="19"/>
              </w:rPr>
              <w:t xml:space="preserve"> por la </w:t>
            </w:r>
            <w:r>
              <w:rPr>
                <w:color w:val="FFFFFF"/>
                <w:sz w:val="19"/>
                <w:szCs w:val="19"/>
              </w:rPr>
              <w:t>e</w:t>
            </w:r>
            <w:r w:rsidR="00A343FC">
              <w:rPr>
                <w:color w:val="FFFFFF"/>
                <w:sz w:val="19"/>
                <w:szCs w:val="19"/>
              </w:rPr>
              <w:t xml:space="preserve">ntidad </w:t>
            </w:r>
            <w:r>
              <w:rPr>
                <w:color w:val="FFFFFF"/>
                <w:sz w:val="19"/>
                <w:szCs w:val="19"/>
              </w:rPr>
              <w:t>f</w:t>
            </w:r>
            <w:r w:rsidR="00A343FC">
              <w:rPr>
                <w:color w:val="FFFFFF"/>
                <w:sz w:val="19"/>
                <w:szCs w:val="19"/>
              </w:rPr>
              <w:t>ederativa</w:t>
            </w:r>
            <w:r w:rsidR="00B11469" w:rsidRPr="00B11469">
              <w:rPr>
                <w:color w:val="FFFFFF"/>
                <w:sz w:val="19"/>
                <w:szCs w:val="19"/>
              </w:rPr>
              <w:t xml:space="preserve"> respecto al pagado</w:t>
            </w:r>
            <w:r w:rsidR="00A343FC">
              <w:rPr>
                <w:color w:val="FFFFFF"/>
                <w:sz w:val="19"/>
                <w:szCs w:val="19"/>
              </w:rPr>
              <w:t xml:space="preserve"> por la SHCP</w:t>
            </w:r>
          </w:p>
        </w:tc>
      </w:tr>
      <w:tr w:rsidR="0073569A" w14:paraId="06B621F3" w14:textId="77777777" w:rsidTr="00B11469">
        <w:trPr>
          <w:trHeight w:val="315"/>
        </w:trPr>
        <w:tc>
          <w:tcPr>
            <w:tcW w:w="476"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59632F" w14:textId="77777777" w:rsidR="0073569A" w:rsidRDefault="0073569A" w:rsidP="00B11469">
            <w:pPr>
              <w:spacing w:after="0" w:line="240" w:lineRule="auto"/>
              <w:jc w:val="center"/>
              <w:rPr>
                <w:b/>
                <w:bCs/>
                <w:color w:val="000000"/>
                <w:sz w:val="20"/>
                <w:szCs w:val="20"/>
              </w:rPr>
            </w:pPr>
            <w:r>
              <w:rPr>
                <w:b/>
                <w:bCs/>
                <w:color w:val="000000"/>
                <w:sz w:val="20"/>
                <w:szCs w:val="20"/>
              </w:rPr>
              <w:t>33</w:t>
            </w:r>
          </w:p>
        </w:tc>
        <w:tc>
          <w:tcPr>
            <w:tcW w:w="225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3F075E" w14:textId="77777777" w:rsidR="0073569A" w:rsidRDefault="0073569A" w:rsidP="00B11469">
            <w:pPr>
              <w:spacing w:after="0" w:line="240" w:lineRule="auto"/>
              <w:jc w:val="left"/>
              <w:rPr>
                <w:color w:val="000000"/>
                <w:sz w:val="20"/>
                <w:szCs w:val="20"/>
              </w:rPr>
            </w:pPr>
            <w:r>
              <w:rPr>
                <w:color w:val="000000"/>
                <w:sz w:val="20"/>
                <w:szCs w:val="20"/>
              </w:rPr>
              <w:t>Aportaciones Federales para Entidades Federativas y Municipios</w:t>
            </w:r>
          </w:p>
        </w:tc>
        <w:tc>
          <w:tcPr>
            <w:tcW w:w="130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0AA6C0" w14:textId="77777777" w:rsidR="0073569A" w:rsidRDefault="0073569A" w:rsidP="00B11469">
            <w:pPr>
              <w:spacing w:after="0" w:line="240" w:lineRule="auto"/>
              <w:jc w:val="center"/>
              <w:rPr>
                <w:color w:val="000000"/>
                <w:sz w:val="20"/>
                <w:szCs w:val="20"/>
              </w:rPr>
            </w:pPr>
            <w:r>
              <w:rPr>
                <w:color w:val="000000"/>
                <w:sz w:val="20"/>
                <w:szCs w:val="20"/>
              </w:rPr>
              <w:t>607,604.80</w:t>
            </w:r>
          </w:p>
        </w:tc>
        <w:tc>
          <w:tcPr>
            <w:tcW w:w="140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ABC221" w14:textId="77777777" w:rsidR="0073569A" w:rsidRDefault="0073569A" w:rsidP="00B11469">
            <w:pPr>
              <w:spacing w:after="0" w:line="240" w:lineRule="auto"/>
              <w:jc w:val="center"/>
              <w:rPr>
                <w:color w:val="000000"/>
                <w:sz w:val="20"/>
                <w:szCs w:val="20"/>
              </w:rPr>
            </w:pPr>
            <w:r>
              <w:rPr>
                <w:color w:val="000000"/>
                <w:sz w:val="20"/>
                <w:szCs w:val="20"/>
              </w:rPr>
              <w:t>607,604.80</w:t>
            </w:r>
          </w:p>
        </w:tc>
        <w:tc>
          <w:tcPr>
            <w:tcW w:w="213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435689" w14:textId="77777777" w:rsidR="0073569A" w:rsidRDefault="0073569A" w:rsidP="00B11469">
            <w:pPr>
              <w:spacing w:after="0" w:line="240" w:lineRule="auto"/>
              <w:jc w:val="center"/>
              <w:rPr>
                <w:color w:val="000000"/>
                <w:sz w:val="20"/>
                <w:szCs w:val="20"/>
              </w:rPr>
            </w:pPr>
            <w:r>
              <w:rPr>
                <w:color w:val="000000"/>
                <w:sz w:val="20"/>
                <w:szCs w:val="20"/>
              </w:rPr>
              <w:t>100</w:t>
            </w:r>
          </w:p>
        </w:tc>
        <w:tc>
          <w:tcPr>
            <w:tcW w:w="197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B5BAAD8" w14:textId="77777777" w:rsidR="0073569A" w:rsidRDefault="0073569A" w:rsidP="00B11469">
            <w:pPr>
              <w:spacing w:after="0" w:line="240" w:lineRule="auto"/>
              <w:jc w:val="center"/>
              <w:rPr>
                <w:color w:val="000000"/>
                <w:sz w:val="20"/>
                <w:szCs w:val="20"/>
              </w:rPr>
            </w:pPr>
            <w:r>
              <w:rPr>
                <w:color w:val="000000"/>
                <w:sz w:val="20"/>
                <w:szCs w:val="20"/>
              </w:rPr>
              <w:t>-33.83%</w:t>
            </w:r>
          </w:p>
        </w:tc>
      </w:tr>
      <w:tr w:rsidR="0073569A" w14:paraId="79006B34"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4115F6" w14:textId="77777777" w:rsidR="0073569A" w:rsidRDefault="0073569A" w:rsidP="00B11469">
            <w:pPr>
              <w:spacing w:after="0" w:line="240" w:lineRule="auto"/>
              <w:jc w:val="center"/>
              <w:rPr>
                <w:b/>
                <w:bCs/>
                <w:color w:val="000000"/>
                <w:sz w:val="20"/>
                <w:szCs w:val="20"/>
              </w:rPr>
            </w:pPr>
            <w:r>
              <w:rPr>
                <w:b/>
                <w:bCs/>
                <w:color w:val="000000"/>
                <w:sz w:val="20"/>
                <w:szCs w:val="20"/>
              </w:rPr>
              <w:t>23</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F43810" w14:textId="77777777" w:rsidR="0073569A" w:rsidRDefault="0073569A" w:rsidP="00B11469">
            <w:pPr>
              <w:spacing w:after="0" w:line="240" w:lineRule="auto"/>
              <w:jc w:val="left"/>
              <w:rPr>
                <w:color w:val="000000"/>
                <w:sz w:val="20"/>
                <w:szCs w:val="20"/>
              </w:rPr>
            </w:pPr>
            <w:r>
              <w:rPr>
                <w:color w:val="000000"/>
                <w:sz w:val="20"/>
                <w:szCs w:val="20"/>
              </w:rPr>
              <w:t>Provisiones Salariales y Económicas</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79267" w14:textId="77777777" w:rsidR="0073569A" w:rsidRDefault="0073569A" w:rsidP="00B11469">
            <w:pPr>
              <w:spacing w:after="0" w:line="240" w:lineRule="auto"/>
              <w:jc w:val="center"/>
              <w:rPr>
                <w:color w:val="000000"/>
                <w:sz w:val="20"/>
                <w:szCs w:val="20"/>
              </w:rPr>
            </w:pPr>
            <w:r>
              <w:rPr>
                <w:color w:val="000000"/>
                <w:sz w:val="20"/>
                <w:szCs w:val="20"/>
              </w:rPr>
              <w:t>204,945.50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587C64" w14:textId="77777777" w:rsidR="0073569A" w:rsidRDefault="0073569A" w:rsidP="00B11469">
            <w:pPr>
              <w:spacing w:after="0" w:line="240" w:lineRule="auto"/>
              <w:jc w:val="center"/>
              <w:rPr>
                <w:color w:val="000000"/>
                <w:sz w:val="20"/>
                <w:szCs w:val="20"/>
              </w:rPr>
            </w:pPr>
            <w:r>
              <w:rPr>
                <w:color w:val="000000"/>
                <w:sz w:val="20"/>
                <w:szCs w:val="20"/>
              </w:rPr>
              <w:t>122,589.40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A8F5A7" w14:textId="77777777" w:rsidR="0073569A" w:rsidRDefault="0073569A" w:rsidP="00B11469">
            <w:pPr>
              <w:spacing w:after="0" w:line="240" w:lineRule="auto"/>
              <w:jc w:val="center"/>
              <w:rPr>
                <w:color w:val="000000"/>
                <w:sz w:val="20"/>
                <w:szCs w:val="20"/>
              </w:rPr>
            </w:pPr>
            <w:r>
              <w:rPr>
                <w:color w:val="000000"/>
                <w:sz w:val="20"/>
                <w:szCs w:val="20"/>
              </w:rPr>
              <w:t>59.8</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4BBAC" w14:textId="77777777" w:rsidR="0073569A" w:rsidRDefault="0073569A" w:rsidP="00B11469">
            <w:pPr>
              <w:spacing w:after="0" w:line="240" w:lineRule="auto"/>
              <w:jc w:val="center"/>
              <w:rPr>
                <w:color w:val="000000"/>
                <w:sz w:val="20"/>
                <w:szCs w:val="20"/>
              </w:rPr>
            </w:pPr>
            <w:r>
              <w:rPr>
                <w:color w:val="000000"/>
                <w:sz w:val="20"/>
                <w:szCs w:val="20"/>
              </w:rPr>
              <w:t>-52.03%</w:t>
            </w:r>
          </w:p>
        </w:tc>
      </w:tr>
      <w:tr w:rsidR="0073569A" w14:paraId="0279612C"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1DB329" w14:textId="77777777" w:rsidR="0073569A" w:rsidRDefault="0073569A" w:rsidP="00B11469">
            <w:pPr>
              <w:spacing w:after="0" w:line="240" w:lineRule="auto"/>
              <w:jc w:val="center"/>
              <w:rPr>
                <w:b/>
                <w:bCs/>
                <w:color w:val="000000"/>
                <w:sz w:val="20"/>
                <w:szCs w:val="20"/>
              </w:rPr>
            </w:pPr>
            <w:r>
              <w:rPr>
                <w:b/>
                <w:bCs/>
                <w:color w:val="000000"/>
                <w:sz w:val="20"/>
                <w:szCs w:val="20"/>
              </w:rPr>
              <w:t>11</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6EFCBE" w14:textId="77777777" w:rsidR="0073569A" w:rsidRDefault="0073569A" w:rsidP="00B11469">
            <w:pPr>
              <w:spacing w:after="0" w:line="240" w:lineRule="auto"/>
              <w:jc w:val="left"/>
              <w:rPr>
                <w:color w:val="000000"/>
                <w:sz w:val="20"/>
                <w:szCs w:val="20"/>
              </w:rPr>
            </w:pPr>
            <w:r>
              <w:rPr>
                <w:color w:val="000000"/>
                <w:sz w:val="20"/>
                <w:szCs w:val="20"/>
              </w:rPr>
              <w:t>Educación Pública</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E2DE7C" w14:textId="77777777" w:rsidR="0073569A" w:rsidRDefault="0073569A" w:rsidP="00B11469">
            <w:pPr>
              <w:spacing w:after="0" w:line="240" w:lineRule="auto"/>
              <w:jc w:val="center"/>
              <w:rPr>
                <w:color w:val="000000"/>
                <w:sz w:val="20"/>
                <w:szCs w:val="20"/>
              </w:rPr>
            </w:pPr>
            <w:r>
              <w:rPr>
                <w:color w:val="000000"/>
                <w:sz w:val="20"/>
                <w:szCs w:val="20"/>
              </w:rPr>
              <w:t>323,103.20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7E369C" w14:textId="77777777" w:rsidR="0073569A" w:rsidRDefault="0073569A" w:rsidP="00B11469">
            <w:pPr>
              <w:spacing w:after="0" w:line="240" w:lineRule="auto"/>
              <w:jc w:val="center"/>
              <w:rPr>
                <w:color w:val="000000"/>
                <w:sz w:val="20"/>
                <w:szCs w:val="20"/>
              </w:rPr>
            </w:pPr>
            <w:r>
              <w:rPr>
                <w:color w:val="000000"/>
                <w:sz w:val="20"/>
                <w:szCs w:val="20"/>
              </w:rPr>
              <w:t>125,743.70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1A003" w14:textId="77777777" w:rsidR="0073569A" w:rsidRDefault="0073569A" w:rsidP="00B11469">
            <w:pPr>
              <w:spacing w:after="0" w:line="240" w:lineRule="auto"/>
              <w:jc w:val="center"/>
              <w:rPr>
                <w:color w:val="000000"/>
                <w:sz w:val="20"/>
                <w:szCs w:val="20"/>
              </w:rPr>
            </w:pPr>
            <w:r>
              <w:rPr>
                <w:color w:val="000000"/>
                <w:sz w:val="20"/>
                <w:szCs w:val="20"/>
              </w:rPr>
              <w:t>38.9</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648CC6" w14:textId="77777777" w:rsidR="0073569A" w:rsidRDefault="0073569A" w:rsidP="00B11469">
            <w:pPr>
              <w:spacing w:after="0" w:line="240" w:lineRule="auto"/>
              <w:jc w:val="center"/>
              <w:rPr>
                <w:color w:val="000000"/>
                <w:sz w:val="20"/>
                <w:szCs w:val="20"/>
              </w:rPr>
            </w:pPr>
            <w:r>
              <w:rPr>
                <w:color w:val="000000"/>
                <w:sz w:val="20"/>
                <w:szCs w:val="20"/>
              </w:rPr>
              <w:t>-27.32%</w:t>
            </w:r>
          </w:p>
        </w:tc>
      </w:tr>
      <w:tr w:rsidR="0073569A" w14:paraId="1771F740"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919547" w14:textId="77777777" w:rsidR="0073569A" w:rsidRDefault="0073569A" w:rsidP="00B11469">
            <w:pPr>
              <w:spacing w:after="0" w:line="240" w:lineRule="auto"/>
              <w:jc w:val="center"/>
              <w:rPr>
                <w:b/>
                <w:bCs/>
                <w:color w:val="000000"/>
                <w:sz w:val="20"/>
                <w:szCs w:val="20"/>
              </w:rPr>
            </w:pPr>
            <w:r>
              <w:rPr>
                <w:b/>
                <w:bCs/>
                <w:color w:val="000000"/>
                <w:sz w:val="20"/>
                <w:szCs w:val="20"/>
              </w:rPr>
              <w:t>16</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18726D" w14:textId="77777777" w:rsidR="0073569A" w:rsidRDefault="0073569A" w:rsidP="00B11469">
            <w:pPr>
              <w:spacing w:after="0" w:line="240" w:lineRule="auto"/>
              <w:jc w:val="left"/>
              <w:rPr>
                <w:color w:val="000000"/>
                <w:sz w:val="20"/>
                <w:szCs w:val="20"/>
              </w:rPr>
            </w:pPr>
            <w:r>
              <w:rPr>
                <w:color w:val="000000"/>
                <w:sz w:val="20"/>
                <w:szCs w:val="20"/>
              </w:rPr>
              <w:t>Medio Ambiente y Recursos Naturales</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EAA1D1" w14:textId="77777777" w:rsidR="0073569A" w:rsidRDefault="0073569A" w:rsidP="00B11469">
            <w:pPr>
              <w:spacing w:after="0" w:line="240" w:lineRule="auto"/>
              <w:jc w:val="center"/>
              <w:rPr>
                <w:color w:val="000000"/>
                <w:sz w:val="20"/>
                <w:szCs w:val="20"/>
              </w:rPr>
            </w:pPr>
            <w:r>
              <w:rPr>
                <w:color w:val="000000"/>
                <w:sz w:val="20"/>
                <w:szCs w:val="20"/>
              </w:rPr>
              <w:t>55,017.80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4EC4DD" w14:textId="77777777" w:rsidR="0073569A" w:rsidRDefault="0073569A" w:rsidP="00B11469">
            <w:pPr>
              <w:spacing w:after="0" w:line="240" w:lineRule="auto"/>
              <w:jc w:val="center"/>
              <w:rPr>
                <w:color w:val="000000"/>
                <w:sz w:val="20"/>
                <w:szCs w:val="20"/>
              </w:rPr>
            </w:pPr>
            <w:r>
              <w:rPr>
                <w:color w:val="000000"/>
                <w:sz w:val="20"/>
                <w:szCs w:val="20"/>
              </w:rPr>
              <w:t>17,273.70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E32887" w14:textId="77777777" w:rsidR="0073569A" w:rsidRDefault="0073569A" w:rsidP="00B11469">
            <w:pPr>
              <w:spacing w:after="0" w:line="240" w:lineRule="auto"/>
              <w:jc w:val="center"/>
              <w:rPr>
                <w:color w:val="000000"/>
                <w:sz w:val="20"/>
                <w:szCs w:val="20"/>
              </w:rPr>
            </w:pPr>
            <w:r>
              <w:rPr>
                <w:color w:val="000000"/>
                <w:sz w:val="20"/>
                <w:szCs w:val="20"/>
              </w:rPr>
              <w:t>31.4</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969F80" w14:textId="77777777" w:rsidR="0073569A" w:rsidRDefault="0073569A" w:rsidP="00B11469">
            <w:pPr>
              <w:spacing w:after="0" w:line="240" w:lineRule="auto"/>
              <w:jc w:val="center"/>
              <w:rPr>
                <w:color w:val="000000"/>
                <w:sz w:val="20"/>
                <w:szCs w:val="20"/>
              </w:rPr>
            </w:pPr>
            <w:r>
              <w:rPr>
                <w:color w:val="000000"/>
                <w:sz w:val="20"/>
                <w:szCs w:val="20"/>
              </w:rPr>
              <w:t>-46.80%</w:t>
            </w:r>
          </w:p>
        </w:tc>
      </w:tr>
      <w:tr w:rsidR="0073569A" w14:paraId="4B7F2982"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270E92" w14:textId="77777777" w:rsidR="0073569A" w:rsidRDefault="0073569A" w:rsidP="00B11469">
            <w:pPr>
              <w:spacing w:after="0" w:line="240" w:lineRule="auto"/>
              <w:jc w:val="center"/>
              <w:rPr>
                <w:b/>
                <w:bCs/>
                <w:color w:val="000000"/>
                <w:sz w:val="20"/>
                <w:szCs w:val="20"/>
              </w:rPr>
            </w:pPr>
            <w:r>
              <w:rPr>
                <w:b/>
                <w:bCs/>
                <w:color w:val="000000"/>
                <w:sz w:val="20"/>
                <w:szCs w:val="20"/>
              </w:rPr>
              <w:t>21</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66B2FC" w14:textId="77777777" w:rsidR="0073569A" w:rsidRDefault="0073569A" w:rsidP="00B11469">
            <w:pPr>
              <w:spacing w:after="0" w:line="240" w:lineRule="auto"/>
              <w:jc w:val="left"/>
              <w:rPr>
                <w:color w:val="000000"/>
                <w:sz w:val="20"/>
                <w:szCs w:val="20"/>
              </w:rPr>
            </w:pPr>
            <w:r>
              <w:rPr>
                <w:color w:val="000000"/>
                <w:sz w:val="20"/>
                <w:szCs w:val="20"/>
              </w:rPr>
              <w:t>Turismo</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ED2D03" w14:textId="77777777" w:rsidR="0073569A" w:rsidRDefault="0073569A" w:rsidP="00B11469">
            <w:pPr>
              <w:spacing w:after="0" w:line="240" w:lineRule="auto"/>
              <w:jc w:val="center"/>
              <w:rPr>
                <w:color w:val="000000"/>
                <w:sz w:val="20"/>
                <w:szCs w:val="20"/>
              </w:rPr>
            </w:pPr>
            <w:r>
              <w:rPr>
                <w:color w:val="000000"/>
                <w:sz w:val="20"/>
                <w:szCs w:val="20"/>
              </w:rPr>
              <w:t>10,333.30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4A028" w14:textId="77777777" w:rsidR="0073569A" w:rsidRDefault="0073569A" w:rsidP="00B11469">
            <w:pPr>
              <w:spacing w:after="0" w:line="240" w:lineRule="auto"/>
              <w:jc w:val="center"/>
              <w:rPr>
                <w:color w:val="000000"/>
                <w:sz w:val="20"/>
                <w:szCs w:val="20"/>
              </w:rPr>
            </w:pPr>
            <w:r>
              <w:rPr>
                <w:color w:val="000000"/>
                <w:sz w:val="20"/>
                <w:szCs w:val="20"/>
              </w:rPr>
              <w:t>1,556.10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E11718" w14:textId="77777777" w:rsidR="0073569A" w:rsidRDefault="0073569A" w:rsidP="00B11469">
            <w:pPr>
              <w:spacing w:after="0" w:line="240" w:lineRule="auto"/>
              <w:jc w:val="center"/>
              <w:rPr>
                <w:color w:val="000000"/>
                <w:sz w:val="20"/>
                <w:szCs w:val="20"/>
              </w:rPr>
            </w:pPr>
            <w:r>
              <w:rPr>
                <w:color w:val="000000"/>
                <w:sz w:val="20"/>
                <w:szCs w:val="20"/>
              </w:rPr>
              <w:t>15.1</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3FB13C" w14:textId="77777777" w:rsidR="0073569A" w:rsidRDefault="0073569A" w:rsidP="00B11469">
            <w:pPr>
              <w:spacing w:after="0" w:line="240" w:lineRule="auto"/>
              <w:jc w:val="center"/>
              <w:rPr>
                <w:color w:val="000000"/>
                <w:sz w:val="20"/>
                <w:szCs w:val="20"/>
              </w:rPr>
            </w:pPr>
            <w:r>
              <w:rPr>
                <w:color w:val="000000"/>
                <w:sz w:val="20"/>
                <w:szCs w:val="20"/>
              </w:rPr>
              <w:t>-44.35%</w:t>
            </w:r>
          </w:p>
        </w:tc>
      </w:tr>
      <w:tr w:rsidR="0073569A" w14:paraId="4673B3FB"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682A7A" w14:textId="77777777" w:rsidR="0073569A" w:rsidRDefault="0073569A" w:rsidP="00B11469">
            <w:pPr>
              <w:spacing w:after="0" w:line="240" w:lineRule="auto"/>
              <w:jc w:val="center"/>
              <w:rPr>
                <w:b/>
                <w:bCs/>
                <w:color w:val="000000"/>
                <w:sz w:val="20"/>
                <w:szCs w:val="20"/>
              </w:rPr>
            </w:pPr>
            <w:r>
              <w:rPr>
                <w:b/>
                <w:bCs/>
                <w:color w:val="000000"/>
                <w:sz w:val="20"/>
                <w:szCs w:val="20"/>
              </w:rPr>
              <w:t>4</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328ABE" w14:textId="77777777" w:rsidR="0073569A" w:rsidRDefault="0073569A" w:rsidP="00B11469">
            <w:pPr>
              <w:spacing w:after="0" w:line="240" w:lineRule="auto"/>
              <w:jc w:val="left"/>
              <w:rPr>
                <w:color w:val="000000"/>
                <w:sz w:val="20"/>
                <w:szCs w:val="20"/>
              </w:rPr>
            </w:pPr>
            <w:r>
              <w:rPr>
                <w:color w:val="000000"/>
                <w:sz w:val="20"/>
                <w:szCs w:val="20"/>
              </w:rPr>
              <w:t>Gobernación</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01A7F6" w14:textId="77777777" w:rsidR="0073569A" w:rsidRDefault="0073569A" w:rsidP="00B11469">
            <w:pPr>
              <w:spacing w:after="0" w:line="240" w:lineRule="auto"/>
              <w:jc w:val="center"/>
              <w:rPr>
                <w:color w:val="000000"/>
                <w:sz w:val="20"/>
                <w:szCs w:val="20"/>
              </w:rPr>
            </w:pPr>
            <w:r>
              <w:rPr>
                <w:color w:val="000000"/>
                <w:sz w:val="20"/>
                <w:szCs w:val="20"/>
              </w:rPr>
              <w:t>79,567.20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57BD5" w14:textId="77777777" w:rsidR="0073569A" w:rsidRDefault="0073569A" w:rsidP="00B11469">
            <w:pPr>
              <w:spacing w:after="0" w:line="240" w:lineRule="auto"/>
              <w:jc w:val="center"/>
              <w:rPr>
                <w:color w:val="000000"/>
                <w:sz w:val="20"/>
                <w:szCs w:val="20"/>
              </w:rPr>
            </w:pPr>
            <w:r>
              <w:rPr>
                <w:color w:val="000000"/>
                <w:sz w:val="20"/>
                <w:szCs w:val="20"/>
              </w:rPr>
              <w:t>8,676.00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C70B2" w14:textId="77777777" w:rsidR="0073569A" w:rsidRDefault="0073569A" w:rsidP="00B11469">
            <w:pPr>
              <w:spacing w:after="0" w:line="240" w:lineRule="auto"/>
              <w:jc w:val="center"/>
              <w:rPr>
                <w:color w:val="000000"/>
                <w:sz w:val="20"/>
                <w:szCs w:val="20"/>
              </w:rPr>
            </w:pPr>
            <w:r>
              <w:rPr>
                <w:color w:val="000000"/>
                <w:sz w:val="20"/>
                <w:szCs w:val="20"/>
              </w:rPr>
              <w:t>10.9</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3C4017" w14:textId="77777777" w:rsidR="0073569A" w:rsidRDefault="0073569A" w:rsidP="00B11469">
            <w:pPr>
              <w:spacing w:after="0" w:line="240" w:lineRule="auto"/>
              <w:jc w:val="center"/>
              <w:rPr>
                <w:color w:val="000000"/>
                <w:sz w:val="20"/>
                <w:szCs w:val="20"/>
              </w:rPr>
            </w:pPr>
            <w:r>
              <w:rPr>
                <w:color w:val="000000"/>
                <w:sz w:val="20"/>
                <w:szCs w:val="20"/>
              </w:rPr>
              <w:t>-27.31%</w:t>
            </w:r>
          </w:p>
        </w:tc>
      </w:tr>
      <w:tr w:rsidR="0073569A" w14:paraId="0C5B49FD"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CC8750" w14:textId="77777777" w:rsidR="0073569A" w:rsidRDefault="0073569A" w:rsidP="00B11469">
            <w:pPr>
              <w:spacing w:after="0" w:line="240" w:lineRule="auto"/>
              <w:jc w:val="center"/>
              <w:rPr>
                <w:b/>
                <w:bCs/>
                <w:color w:val="000000"/>
                <w:sz w:val="20"/>
                <w:szCs w:val="20"/>
              </w:rPr>
            </w:pPr>
            <w:r>
              <w:rPr>
                <w:b/>
                <w:bCs/>
                <w:color w:val="000000"/>
                <w:sz w:val="20"/>
                <w:szCs w:val="20"/>
              </w:rPr>
              <w:t>12</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6FEDD1" w14:textId="77777777" w:rsidR="0073569A" w:rsidRDefault="0073569A" w:rsidP="00B11469">
            <w:pPr>
              <w:spacing w:after="0" w:line="240" w:lineRule="auto"/>
              <w:jc w:val="left"/>
              <w:rPr>
                <w:color w:val="000000"/>
                <w:sz w:val="20"/>
                <w:szCs w:val="20"/>
              </w:rPr>
            </w:pPr>
            <w:r>
              <w:rPr>
                <w:color w:val="000000"/>
                <w:sz w:val="20"/>
                <w:szCs w:val="20"/>
              </w:rPr>
              <w:t>Salud</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033808" w14:textId="77777777" w:rsidR="0073569A" w:rsidRDefault="0073569A" w:rsidP="00B11469">
            <w:pPr>
              <w:spacing w:after="0" w:line="240" w:lineRule="auto"/>
              <w:jc w:val="center"/>
              <w:rPr>
                <w:color w:val="000000"/>
                <w:sz w:val="20"/>
                <w:szCs w:val="20"/>
              </w:rPr>
            </w:pPr>
            <w:r>
              <w:rPr>
                <w:color w:val="000000"/>
                <w:sz w:val="20"/>
                <w:szCs w:val="20"/>
              </w:rPr>
              <w:t>121,153.40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893ADC" w14:textId="77777777" w:rsidR="0073569A" w:rsidRDefault="0073569A" w:rsidP="00B11469">
            <w:pPr>
              <w:spacing w:after="0" w:line="240" w:lineRule="auto"/>
              <w:jc w:val="center"/>
              <w:rPr>
                <w:color w:val="000000"/>
                <w:sz w:val="20"/>
                <w:szCs w:val="20"/>
              </w:rPr>
            </w:pPr>
            <w:r>
              <w:rPr>
                <w:color w:val="000000"/>
                <w:sz w:val="20"/>
                <w:szCs w:val="20"/>
              </w:rPr>
              <w:t>7,863.90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A3ED5B" w14:textId="77777777" w:rsidR="0073569A" w:rsidRDefault="0073569A" w:rsidP="00B11469">
            <w:pPr>
              <w:spacing w:after="0" w:line="240" w:lineRule="auto"/>
              <w:jc w:val="center"/>
              <w:rPr>
                <w:color w:val="000000"/>
                <w:sz w:val="20"/>
                <w:szCs w:val="20"/>
              </w:rPr>
            </w:pPr>
            <w:r>
              <w:rPr>
                <w:color w:val="000000"/>
                <w:sz w:val="20"/>
                <w:szCs w:val="20"/>
              </w:rPr>
              <w:t>6.5</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570F4" w14:textId="77777777" w:rsidR="0073569A" w:rsidRDefault="0073569A" w:rsidP="00B11469">
            <w:pPr>
              <w:spacing w:after="0" w:line="240" w:lineRule="auto"/>
              <w:jc w:val="center"/>
              <w:rPr>
                <w:color w:val="000000"/>
                <w:sz w:val="20"/>
                <w:szCs w:val="20"/>
              </w:rPr>
            </w:pPr>
            <w:r>
              <w:rPr>
                <w:color w:val="000000"/>
                <w:sz w:val="20"/>
                <w:szCs w:val="20"/>
              </w:rPr>
              <w:t>-20.43%</w:t>
            </w:r>
          </w:p>
        </w:tc>
      </w:tr>
      <w:tr w:rsidR="0073569A" w14:paraId="278923AE"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322071" w14:textId="77777777" w:rsidR="0073569A" w:rsidRDefault="0073569A" w:rsidP="00B11469">
            <w:pPr>
              <w:spacing w:after="0" w:line="240" w:lineRule="auto"/>
              <w:jc w:val="center"/>
              <w:rPr>
                <w:b/>
                <w:bCs/>
                <w:color w:val="000000"/>
                <w:sz w:val="20"/>
                <w:szCs w:val="20"/>
              </w:rPr>
            </w:pPr>
            <w:r>
              <w:rPr>
                <w:b/>
                <w:bCs/>
                <w:color w:val="000000"/>
                <w:sz w:val="20"/>
                <w:szCs w:val="20"/>
              </w:rPr>
              <w:t>8</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134501" w14:textId="77777777" w:rsidR="0073569A" w:rsidRDefault="0073569A" w:rsidP="00B11469">
            <w:pPr>
              <w:spacing w:after="0" w:line="240" w:lineRule="auto"/>
              <w:jc w:val="left"/>
              <w:rPr>
                <w:color w:val="000000"/>
                <w:sz w:val="20"/>
                <w:szCs w:val="20"/>
              </w:rPr>
            </w:pPr>
            <w:r>
              <w:rPr>
                <w:color w:val="000000"/>
                <w:sz w:val="20"/>
                <w:szCs w:val="20"/>
              </w:rPr>
              <w:t>Agricultura, Ganadería, Desarrollo Rural, Pesca y Alimentación</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4AE272" w14:textId="77777777" w:rsidR="0073569A" w:rsidRDefault="0073569A" w:rsidP="00B11469">
            <w:pPr>
              <w:spacing w:after="0" w:line="240" w:lineRule="auto"/>
              <w:jc w:val="center"/>
              <w:rPr>
                <w:color w:val="000000"/>
                <w:sz w:val="20"/>
                <w:szCs w:val="20"/>
              </w:rPr>
            </w:pPr>
            <w:r>
              <w:rPr>
                <w:color w:val="000000"/>
                <w:sz w:val="20"/>
                <w:szCs w:val="20"/>
              </w:rPr>
              <w:t>80,793.40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E1A43" w14:textId="77777777" w:rsidR="0073569A" w:rsidRDefault="0073569A" w:rsidP="00B11469">
            <w:pPr>
              <w:spacing w:after="0" w:line="240" w:lineRule="auto"/>
              <w:jc w:val="center"/>
              <w:rPr>
                <w:color w:val="000000"/>
                <w:sz w:val="20"/>
                <w:szCs w:val="20"/>
              </w:rPr>
            </w:pPr>
            <w:r>
              <w:rPr>
                <w:color w:val="000000"/>
                <w:sz w:val="20"/>
                <w:szCs w:val="20"/>
              </w:rPr>
              <w:t>4,154.90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A25714" w14:textId="77777777" w:rsidR="0073569A" w:rsidRDefault="0073569A" w:rsidP="00B11469">
            <w:pPr>
              <w:spacing w:after="0" w:line="240" w:lineRule="auto"/>
              <w:jc w:val="center"/>
              <w:rPr>
                <w:color w:val="000000"/>
                <w:sz w:val="20"/>
                <w:szCs w:val="20"/>
              </w:rPr>
            </w:pPr>
            <w:r>
              <w:rPr>
                <w:color w:val="000000"/>
                <w:sz w:val="20"/>
                <w:szCs w:val="20"/>
              </w:rPr>
              <w:t>5.1</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F372D5" w14:textId="77777777" w:rsidR="0073569A" w:rsidRDefault="0073569A" w:rsidP="00B11469">
            <w:pPr>
              <w:spacing w:after="0" w:line="240" w:lineRule="auto"/>
              <w:jc w:val="center"/>
              <w:rPr>
                <w:color w:val="000000"/>
                <w:sz w:val="20"/>
                <w:szCs w:val="20"/>
              </w:rPr>
            </w:pPr>
            <w:r>
              <w:rPr>
                <w:color w:val="000000"/>
                <w:sz w:val="20"/>
                <w:szCs w:val="20"/>
              </w:rPr>
              <w:t>-63.29%</w:t>
            </w:r>
          </w:p>
        </w:tc>
      </w:tr>
      <w:tr w:rsidR="0073569A" w14:paraId="5A554EEA"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A9CEE" w14:textId="77777777" w:rsidR="0073569A" w:rsidRDefault="0073569A" w:rsidP="00B11469">
            <w:pPr>
              <w:spacing w:after="0" w:line="240" w:lineRule="auto"/>
              <w:jc w:val="center"/>
              <w:rPr>
                <w:b/>
                <w:bCs/>
                <w:color w:val="000000"/>
                <w:sz w:val="20"/>
                <w:szCs w:val="20"/>
              </w:rPr>
            </w:pPr>
            <w:r>
              <w:rPr>
                <w:b/>
                <w:bCs/>
                <w:color w:val="000000"/>
                <w:sz w:val="20"/>
                <w:szCs w:val="20"/>
              </w:rPr>
              <w:t>6</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344AF" w14:textId="77777777" w:rsidR="0073569A" w:rsidRDefault="0073569A" w:rsidP="00B11469">
            <w:pPr>
              <w:spacing w:after="0" w:line="240" w:lineRule="auto"/>
              <w:jc w:val="left"/>
              <w:rPr>
                <w:color w:val="000000"/>
                <w:sz w:val="20"/>
                <w:szCs w:val="20"/>
              </w:rPr>
            </w:pPr>
            <w:r>
              <w:rPr>
                <w:color w:val="000000"/>
                <w:sz w:val="20"/>
                <w:szCs w:val="20"/>
              </w:rPr>
              <w:t>Hacienda y Crédito Público</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FEA877" w14:textId="77777777" w:rsidR="0073569A" w:rsidRDefault="0073569A" w:rsidP="00B11469">
            <w:pPr>
              <w:spacing w:after="0" w:line="240" w:lineRule="auto"/>
              <w:jc w:val="center"/>
              <w:rPr>
                <w:color w:val="000000"/>
                <w:sz w:val="20"/>
                <w:szCs w:val="20"/>
              </w:rPr>
            </w:pPr>
            <w:r>
              <w:rPr>
                <w:color w:val="000000"/>
                <w:sz w:val="20"/>
                <w:szCs w:val="20"/>
              </w:rPr>
              <w:t>53,508.80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1D497" w14:textId="77777777" w:rsidR="0073569A" w:rsidRDefault="0073569A" w:rsidP="00B11469">
            <w:pPr>
              <w:spacing w:after="0" w:line="240" w:lineRule="auto"/>
              <w:jc w:val="center"/>
              <w:rPr>
                <w:color w:val="000000"/>
                <w:sz w:val="20"/>
                <w:szCs w:val="20"/>
              </w:rPr>
            </w:pPr>
            <w:r>
              <w:rPr>
                <w:color w:val="000000"/>
                <w:sz w:val="20"/>
                <w:szCs w:val="20"/>
              </w:rPr>
              <w:t>1,393.60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958C41" w14:textId="77777777" w:rsidR="0073569A" w:rsidRDefault="0073569A" w:rsidP="00B11469">
            <w:pPr>
              <w:spacing w:after="0" w:line="240" w:lineRule="auto"/>
              <w:jc w:val="center"/>
              <w:rPr>
                <w:color w:val="000000"/>
                <w:sz w:val="20"/>
                <w:szCs w:val="20"/>
              </w:rPr>
            </w:pPr>
            <w:r>
              <w:rPr>
                <w:color w:val="000000"/>
                <w:sz w:val="20"/>
                <w:szCs w:val="20"/>
              </w:rPr>
              <w:t>2.6</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328CEE" w14:textId="77777777" w:rsidR="0073569A" w:rsidRDefault="0073569A" w:rsidP="00B11469">
            <w:pPr>
              <w:spacing w:after="0" w:line="240" w:lineRule="auto"/>
              <w:jc w:val="center"/>
              <w:rPr>
                <w:color w:val="000000"/>
                <w:sz w:val="20"/>
                <w:szCs w:val="20"/>
              </w:rPr>
            </w:pPr>
            <w:r>
              <w:rPr>
                <w:color w:val="000000"/>
                <w:sz w:val="20"/>
                <w:szCs w:val="20"/>
              </w:rPr>
              <w:t>-92.74%</w:t>
            </w:r>
          </w:p>
        </w:tc>
      </w:tr>
      <w:tr w:rsidR="0073569A" w14:paraId="10F42091"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159A7" w14:textId="77777777" w:rsidR="0073569A" w:rsidRDefault="0073569A" w:rsidP="00B11469">
            <w:pPr>
              <w:spacing w:after="0" w:line="240" w:lineRule="auto"/>
              <w:jc w:val="center"/>
              <w:rPr>
                <w:b/>
                <w:bCs/>
                <w:color w:val="000000"/>
                <w:sz w:val="20"/>
                <w:szCs w:val="20"/>
              </w:rPr>
            </w:pPr>
            <w:r>
              <w:rPr>
                <w:b/>
                <w:bCs/>
                <w:color w:val="000000"/>
                <w:sz w:val="20"/>
                <w:szCs w:val="20"/>
              </w:rPr>
              <w:t>9</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90BB3" w14:textId="77777777" w:rsidR="0073569A" w:rsidRDefault="0073569A" w:rsidP="00B11469">
            <w:pPr>
              <w:spacing w:after="0" w:line="240" w:lineRule="auto"/>
              <w:jc w:val="left"/>
              <w:rPr>
                <w:color w:val="000000"/>
                <w:sz w:val="20"/>
                <w:szCs w:val="20"/>
              </w:rPr>
            </w:pPr>
            <w:r>
              <w:rPr>
                <w:color w:val="000000"/>
                <w:sz w:val="20"/>
                <w:szCs w:val="20"/>
              </w:rPr>
              <w:t>Comunicaciones y Transportes</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29610" w14:textId="77777777" w:rsidR="0073569A" w:rsidRDefault="0073569A" w:rsidP="00B11469">
            <w:pPr>
              <w:spacing w:after="0" w:line="240" w:lineRule="auto"/>
              <w:jc w:val="center"/>
              <w:rPr>
                <w:color w:val="000000"/>
                <w:sz w:val="20"/>
                <w:szCs w:val="20"/>
              </w:rPr>
            </w:pPr>
            <w:r>
              <w:rPr>
                <w:color w:val="000000"/>
                <w:sz w:val="20"/>
                <w:szCs w:val="20"/>
              </w:rPr>
              <w:t>109,820.70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3BAF5" w14:textId="77777777" w:rsidR="0073569A" w:rsidRDefault="0073569A" w:rsidP="00B11469">
            <w:pPr>
              <w:spacing w:after="0" w:line="240" w:lineRule="auto"/>
              <w:jc w:val="center"/>
              <w:rPr>
                <w:color w:val="000000"/>
                <w:sz w:val="20"/>
                <w:szCs w:val="20"/>
              </w:rPr>
            </w:pPr>
            <w:r>
              <w:rPr>
                <w:color w:val="000000"/>
                <w:sz w:val="20"/>
                <w:szCs w:val="20"/>
              </w:rPr>
              <w:t>2,000.00</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C80600" w14:textId="77777777" w:rsidR="0073569A" w:rsidRDefault="0073569A" w:rsidP="00B11469">
            <w:pPr>
              <w:spacing w:after="0" w:line="240" w:lineRule="auto"/>
              <w:jc w:val="center"/>
              <w:rPr>
                <w:color w:val="000000"/>
                <w:sz w:val="20"/>
                <w:szCs w:val="20"/>
              </w:rPr>
            </w:pPr>
            <w:r>
              <w:rPr>
                <w:color w:val="000000"/>
                <w:sz w:val="20"/>
                <w:szCs w:val="20"/>
              </w:rPr>
              <w:t>1.8</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ADBEF" w14:textId="77777777" w:rsidR="0073569A" w:rsidRDefault="0073569A" w:rsidP="00B11469">
            <w:pPr>
              <w:spacing w:after="0" w:line="240" w:lineRule="auto"/>
              <w:jc w:val="center"/>
              <w:rPr>
                <w:color w:val="000000"/>
                <w:sz w:val="20"/>
                <w:szCs w:val="20"/>
              </w:rPr>
            </w:pPr>
            <w:r>
              <w:rPr>
                <w:color w:val="000000"/>
                <w:sz w:val="20"/>
                <w:szCs w:val="20"/>
              </w:rPr>
              <w:t>-100.00%</w:t>
            </w:r>
          </w:p>
        </w:tc>
      </w:tr>
      <w:tr w:rsidR="0073569A" w14:paraId="7075A48A" w14:textId="77777777" w:rsidTr="00B11469">
        <w:trPr>
          <w:trHeight w:val="315"/>
        </w:trPr>
        <w:tc>
          <w:tcPr>
            <w:tcW w:w="4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920BC2" w14:textId="77777777" w:rsidR="0073569A" w:rsidRDefault="0073569A" w:rsidP="00B11469">
            <w:pPr>
              <w:spacing w:after="0" w:line="240" w:lineRule="auto"/>
              <w:jc w:val="center"/>
              <w:rPr>
                <w:b/>
                <w:bCs/>
                <w:color w:val="000000"/>
                <w:sz w:val="20"/>
                <w:szCs w:val="20"/>
              </w:rPr>
            </w:pPr>
            <w:r>
              <w:rPr>
                <w:b/>
                <w:bCs/>
                <w:color w:val="000000"/>
                <w:sz w:val="20"/>
                <w:szCs w:val="20"/>
              </w:rPr>
              <w:t>20</w:t>
            </w:r>
          </w:p>
        </w:tc>
        <w:tc>
          <w:tcPr>
            <w:tcW w:w="2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D9C3FA" w14:textId="77777777" w:rsidR="0073569A" w:rsidRDefault="0073569A" w:rsidP="00B11469">
            <w:pPr>
              <w:spacing w:after="0" w:line="240" w:lineRule="auto"/>
              <w:rPr>
                <w:color w:val="000000"/>
                <w:sz w:val="20"/>
                <w:szCs w:val="20"/>
              </w:rPr>
            </w:pPr>
            <w:r>
              <w:rPr>
                <w:color w:val="000000"/>
                <w:sz w:val="20"/>
                <w:szCs w:val="20"/>
              </w:rPr>
              <w:t>Desarrollo Social</w:t>
            </w:r>
          </w:p>
        </w:tc>
        <w:tc>
          <w:tcPr>
            <w:tcW w:w="13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4037FF" w14:textId="77777777" w:rsidR="0073569A" w:rsidRDefault="0073569A" w:rsidP="00B11469">
            <w:pPr>
              <w:spacing w:after="0" w:line="240" w:lineRule="auto"/>
              <w:jc w:val="center"/>
              <w:rPr>
                <w:color w:val="000000"/>
                <w:sz w:val="20"/>
                <w:szCs w:val="20"/>
              </w:rPr>
            </w:pPr>
            <w:r>
              <w:rPr>
                <w:color w:val="000000"/>
                <w:sz w:val="20"/>
                <w:szCs w:val="20"/>
              </w:rPr>
              <w:t>110,035.80</w:t>
            </w:r>
          </w:p>
        </w:tc>
        <w:tc>
          <w:tcPr>
            <w:tcW w:w="14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B0FF7E" w14:textId="77777777" w:rsidR="0073569A" w:rsidRDefault="0073569A" w:rsidP="00B11469">
            <w:pPr>
              <w:spacing w:after="0" w:line="240" w:lineRule="auto"/>
              <w:jc w:val="center"/>
              <w:rPr>
                <w:color w:val="000000"/>
                <w:sz w:val="20"/>
                <w:szCs w:val="20"/>
              </w:rPr>
            </w:pPr>
            <w:r>
              <w:rPr>
                <w:color w:val="000000"/>
                <w:sz w:val="20"/>
                <w:szCs w:val="20"/>
              </w:rPr>
              <w:t>71.1</w:t>
            </w:r>
          </w:p>
        </w:tc>
        <w:tc>
          <w:tcPr>
            <w:tcW w:w="21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462DB0" w14:textId="77777777" w:rsidR="0073569A" w:rsidRDefault="0073569A" w:rsidP="00B11469">
            <w:pPr>
              <w:spacing w:after="0" w:line="240" w:lineRule="auto"/>
              <w:jc w:val="center"/>
              <w:rPr>
                <w:color w:val="000000"/>
                <w:sz w:val="20"/>
                <w:szCs w:val="20"/>
              </w:rPr>
            </w:pPr>
            <w:r>
              <w:rPr>
                <w:color w:val="000000"/>
                <w:sz w:val="20"/>
                <w:szCs w:val="20"/>
              </w:rPr>
              <w:t>0.1</w:t>
            </w:r>
          </w:p>
        </w:tc>
        <w:tc>
          <w:tcPr>
            <w:tcW w:w="1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537328" w14:textId="77777777" w:rsidR="0073569A" w:rsidRDefault="0073569A" w:rsidP="00B11469">
            <w:pPr>
              <w:spacing w:after="0" w:line="240" w:lineRule="auto"/>
              <w:jc w:val="center"/>
              <w:rPr>
                <w:color w:val="000000"/>
                <w:sz w:val="20"/>
                <w:szCs w:val="20"/>
              </w:rPr>
            </w:pPr>
            <w:r>
              <w:rPr>
                <w:color w:val="000000"/>
                <w:sz w:val="20"/>
                <w:szCs w:val="20"/>
              </w:rPr>
              <w:t>-75.57%</w:t>
            </w:r>
          </w:p>
        </w:tc>
      </w:tr>
    </w:tbl>
    <w:p w14:paraId="6C362842" w14:textId="481949B4" w:rsidR="00B11469" w:rsidRPr="008F4C19" w:rsidRDefault="00B11469" w:rsidP="00E07956">
      <w:pPr>
        <w:spacing w:after="0" w:line="240" w:lineRule="auto"/>
        <w:ind w:right="-660"/>
        <w:rPr>
          <w:sz w:val="16"/>
          <w:szCs w:val="16"/>
        </w:rPr>
      </w:pPr>
      <w:r w:rsidRPr="008F4C19">
        <w:rPr>
          <w:sz w:val="16"/>
          <w:szCs w:val="16"/>
        </w:rPr>
        <w:t>Nota: La información correspondiente al monto pagado del ramo corresponde a la información de Gasto Programable del Sector Presupuestario de estadísticas oportunas</w:t>
      </w:r>
      <w:r w:rsidR="00717586">
        <w:rPr>
          <w:sz w:val="16"/>
          <w:szCs w:val="16"/>
        </w:rPr>
        <w:t>.</w:t>
      </w:r>
      <w:r w:rsidRPr="008F4C19">
        <w:rPr>
          <w:sz w:val="16"/>
          <w:szCs w:val="16"/>
        </w:rPr>
        <w:t xml:space="preserve"> </w:t>
      </w:r>
      <w:r w:rsidR="00717586">
        <w:rPr>
          <w:sz w:val="16"/>
          <w:szCs w:val="16"/>
        </w:rPr>
        <w:t>C</w:t>
      </w:r>
      <w:r w:rsidRPr="008F4C19">
        <w:rPr>
          <w:sz w:val="16"/>
          <w:szCs w:val="16"/>
        </w:rPr>
        <w:t>ifras acumuladas enero-diciembre 2015</w:t>
      </w:r>
      <w:r w:rsidR="00717586">
        <w:rPr>
          <w:sz w:val="16"/>
          <w:szCs w:val="16"/>
        </w:rPr>
        <w:t>.</w:t>
      </w:r>
      <w:r w:rsidRPr="008F4C19">
        <w:rPr>
          <w:sz w:val="16"/>
          <w:szCs w:val="16"/>
        </w:rPr>
        <w:t xml:space="preserve"> </w:t>
      </w:r>
      <w:r w:rsidR="00717586">
        <w:rPr>
          <w:sz w:val="16"/>
          <w:szCs w:val="16"/>
        </w:rPr>
        <w:t>L</w:t>
      </w:r>
      <w:r w:rsidRPr="008F4C19">
        <w:rPr>
          <w:sz w:val="16"/>
          <w:szCs w:val="16"/>
        </w:rPr>
        <w:t>a información de recursos federales transferido</w:t>
      </w:r>
      <w:r w:rsidR="00717586">
        <w:rPr>
          <w:sz w:val="16"/>
          <w:szCs w:val="16"/>
        </w:rPr>
        <w:t>s</w:t>
      </w:r>
      <w:r w:rsidRPr="008F4C19">
        <w:rPr>
          <w:sz w:val="16"/>
          <w:szCs w:val="16"/>
        </w:rPr>
        <w:t xml:space="preserve"> corresponde a </w:t>
      </w:r>
      <w:r w:rsidR="00717586">
        <w:rPr>
          <w:sz w:val="16"/>
          <w:szCs w:val="16"/>
        </w:rPr>
        <w:t>la</w:t>
      </w:r>
      <w:r w:rsidR="00717586" w:rsidRPr="008F4C19">
        <w:rPr>
          <w:sz w:val="16"/>
          <w:szCs w:val="16"/>
        </w:rPr>
        <w:t xml:space="preserve"> </w:t>
      </w:r>
      <w:r w:rsidRPr="008F4C19">
        <w:rPr>
          <w:sz w:val="16"/>
          <w:szCs w:val="16"/>
        </w:rPr>
        <w:t>del Módulo de Avance Financiero del Sistema de Formato Único</w:t>
      </w:r>
      <w:r w:rsidR="00717586">
        <w:rPr>
          <w:sz w:val="16"/>
          <w:szCs w:val="16"/>
        </w:rPr>
        <w:t>.</w:t>
      </w:r>
    </w:p>
    <w:p w14:paraId="74B35BFE" w14:textId="0D64A516" w:rsidR="00B11469" w:rsidRDefault="00B11469" w:rsidP="00E07956">
      <w:pPr>
        <w:spacing w:line="240" w:lineRule="auto"/>
        <w:ind w:right="-660"/>
        <w:rPr>
          <w:sz w:val="16"/>
          <w:szCs w:val="16"/>
        </w:rPr>
      </w:pPr>
      <w:r w:rsidRPr="008F4C19">
        <w:rPr>
          <w:sz w:val="16"/>
          <w:szCs w:val="16"/>
        </w:rPr>
        <w:t>Fuente: Estadísticas oportunas, así como base de datos Gasto Federalizado</w:t>
      </w:r>
      <w:r w:rsidR="00717586">
        <w:rPr>
          <w:sz w:val="16"/>
          <w:szCs w:val="16"/>
        </w:rPr>
        <w:t>,</w:t>
      </w:r>
      <w:r w:rsidRPr="008F4C19">
        <w:rPr>
          <w:sz w:val="16"/>
          <w:szCs w:val="16"/>
        </w:rPr>
        <w:t xml:space="preserve"> Unidad de Política y Control </w:t>
      </w:r>
      <w:r w:rsidR="00717586">
        <w:rPr>
          <w:sz w:val="16"/>
          <w:szCs w:val="16"/>
        </w:rPr>
        <w:t>P</w:t>
      </w:r>
      <w:r w:rsidRPr="008F4C19">
        <w:rPr>
          <w:sz w:val="16"/>
          <w:szCs w:val="16"/>
        </w:rPr>
        <w:t>resupuestario.</w:t>
      </w:r>
    </w:p>
    <w:p w14:paraId="1FDD0E65" w14:textId="77777777" w:rsidR="003B4D06" w:rsidRPr="008F4C19" w:rsidRDefault="003B4D06" w:rsidP="00E07956">
      <w:pPr>
        <w:spacing w:line="240" w:lineRule="auto"/>
        <w:ind w:right="-660"/>
        <w:rPr>
          <w:sz w:val="16"/>
          <w:szCs w:val="16"/>
        </w:rPr>
      </w:pPr>
    </w:p>
    <w:p w14:paraId="7E7DFA8D" w14:textId="77777777" w:rsidR="001C2F3C" w:rsidRDefault="003B4D06" w:rsidP="00E81B85">
      <w:pPr>
        <w:ind w:firstLine="709"/>
      </w:pPr>
      <w:r>
        <w:t xml:space="preserve">Por lo anterior, </w:t>
      </w:r>
      <w:r w:rsidR="00BE28AF" w:rsidRPr="003B4D06">
        <w:rPr>
          <w:b/>
        </w:rPr>
        <w:t xml:space="preserve">identificar los Pp de </w:t>
      </w:r>
      <w:r w:rsidR="002547EF" w:rsidRPr="003B4D06">
        <w:rPr>
          <w:b/>
        </w:rPr>
        <w:t xml:space="preserve">los </w:t>
      </w:r>
      <w:r w:rsidR="00F35895" w:rsidRPr="003B4D06">
        <w:rPr>
          <w:b/>
        </w:rPr>
        <w:t xml:space="preserve">que </w:t>
      </w:r>
      <w:r w:rsidR="00BE28AF" w:rsidRPr="003B4D06">
        <w:rPr>
          <w:b/>
        </w:rPr>
        <w:t>no se reporta información a nivel de entidad federativa</w:t>
      </w:r>
      <w:r w:rsidRPr="003B4D06">
        <w:rPr>
          <w:b/>
        </w:rPr>
        <w:t xml:space="preserve"> es</w:t>
      </w:r>
      <w:r w:rsidR="00BE28AF" w:rsidRPr="003B4D06">
        <w:rPr>
          <w:b/>
        </w:rPr>
        <w:t xml:space="preserve"> una línea</w:t>
      </w:r>
      <w:r w:rsidRPr="003B4D06">
        <w:rPr>
          <w:b/>
        </w:rPr>
        <w:t xml:space="preserve"> </w:t>
      </w:r>
      <w:r w:rsidR="00BE28AF" w:rsidRPr="003B4D06">
        <w:rPr>
          <w:b/>
        </w:rPr>
        <w:t xml:space="preserve">de acción </w:t>
      </w:r>
      <w:r>
        <w:t xml:space="preserve">clave </w:t>
      </w:r>
      <w:r w:rsidR="008D6A96" w:rsidRPr="00301DA5">
        <w:t>que debe</w:t>
      </w:r>
      <w:r w:rsidR="00BE28AF" w:rsidRPr="00301DA5">
        <w:t xml:space="preserve"> ser </w:t>
      </w:r>
      <w:r w:rsidR="00BE28AF" w:rsidRPr="00301DA5">
        <w:lastRenderedPageBreak/>
        <w:t>implementada desde las s</w:t>
      </w:r>
      <w:r w:rsidR="00513510" w:rsidRPr="00301DA5">
        <w:t>ecretarías de finanzas o su equivalente</w:t>
      </w:r>
      <w:r w:rsidR="00BE28AF" w:rsidRPr="00301DA5">
        <w:t xml:space="preserve">, con el objetivo de verificar el correcto reporte del </w:t>
      </w:r>
      <w:r w:rsidR="008F4C19">
        <w:t>gobierno de cada entidad federativa</w:t>
      </w:r>
      <w:r w:rsidR="00BE28AF" w:rsidRPr="00301DA5">
        <w:t>.</w:t>
      </w:r>
      <w:r w:rsidR="00B03A56" w:rsidRPr="00301DA5">
        <w:t xml:space="preserve"> </w:t>
      </w:r>
    </w:p>
    <w:p w14:paraId="4201E676" w14:textId="72764A88" w:rsidR="000221ED" w:rsidRPr="000221ED" w:rsidRDefault="00B03A56" w:rsidP="001C2F3C">
      <w:pPr>
        <w:ind w:firstLine="708"/>
      </w:pPr>
      <w:r>
        <w:t xml:space="preserve">Por lo </w:t>
      </w:r>
      <w:r w:rsidR="001C2F3C">
        <w:t>anterior</w:t>
      </w:r>
      <w:r w:rsidR="00F35895">
        <w:t>,</w:t>
      </w:r>
      <w:r w:rsidR="00AA676C">
        <w:t xml:space="preserve"> </w:t>
      </w:r>
      <w:r w:rsidR="00717586">
        <w:t xml:space="preserve">es necesario que </w:t>
      </w:r>
      <w:r>
        <w:t>las entidades federativas</w:t>
      </w:r>
      <w:r w:rsidR="00717586">
        <w:t xml:space="preserve"> establezcan </w:t>
      </w:r>
      <w:r>
        <w:t>los mecanismos de coordinación que le</w:t>
      </w:r>
      <w:r w:rsidR="00AA676C">
        <w:t>s</w:t>
      </w:r>
      <w:r>
        <w:t xml:space="preserve"> permitan </w:t>
      </w:r>
      <w:r w:rsidR="008F4C19">
        <w:t xml:space="preserve">implementar actividades en tiempos </w:t>
      </w:r>
      <w:r w:rsidR="00AA676C">
        <w:t>acorde</w:t>
      </w:r>
      <w:r w:rsidR="008F4C19">
        <w:t>s</w:t>
      </w:r>
      <w:r w:rsidR="00AA676C">
        <w:t xml:space="preserve"> con la normatividad, </w:t>
      </w:r>
      <w:r>
        <w:t xml:space="preserve">y verificar la consistencia de la información de los registros de las áreas </w:t>
      </w:r>
      <w:r w:rsidR="00AA676C">
        <w:t>responsables con aquéllos de la secretaría de finanzas</w:t>
      </w:r>
      <w:r w:rsidR="000F6BFF">
        <w:t xml:space="preserve"> respectiva</w:t>
      </w:r>
      <w:r w:rsidR="00AA676C">
        <w:t>.</w:t>
      </w:r>
    </w:p>
    <w:p w14:paraId="5DF324CB" w14:textId="77777777" w:rsidR="00E8635E" w:rsidRDefault="00E8635E" w:rsidP="000221ED">
      <w:pPr>
        <w:pStyle w:val="Ttulo3"/>
      </w:pPr>
      <w:bookmarkStart w:id="13" w:name="_Toc447904084"/>
      <w:r>
        <w:t>Indicadores</w:t>
      </w:r>
      <w:bookmarkEnd w:id="13"/>
    </w:p>
    <w:p w14:paraId="53D7571D" w14:textId="51F36306" w:rsidR="00931373" w:rsidRPr="007F0B3F" w:rsidRDefault="001D3C0E" w:rsidP="000605C8">
      <w:r>
        <w:rPr>
          <w:rFonts w:eastAsia="Times New Roman" w:cs="Arial"/>
          <w:szCs w:val="20"/>
          <w:lang w:val="es-ES"/>
        </w:rPr>
        <w:t xml:space="preserve">La publicación de los </w:t>
      </w:r>
      <w:r w:rsidR="000F6BFF">
        <w:rPr>
          <w:rFonts w:eastAsia="Times New Roman" w:cs="Arial"/>
          <w:szCs w:val="20"/>
          <w:lang w:val="es-ES"/>
        </w:rPr>
        <w:t>L</w:t>
      </w:r>
      <w:r>
        <w:rPr>
          <w:rFonts w:eastAsia="Times New Roman" w:cs="Arial"/>
          <w:szCs w:val="20"/>
          <w:lang w:val="es-ES"/>
        </w:rPr>
        <w:t>ineamiento</w:t>
      </w:r>
      <w:r w:rsidR="0058510A">
        <w:rPr>
          <w:rFonts w:eastAsia="Times New Roman" w:cs="Arial"/>
          <w:szCs w:val="20"/>
          <w:lang w:val="es-ES"/>
        </w:rPr>
        <w:t>s</w:t>
      </w:r>
      <w:r w:rsidR="00AA676C">
        <w:rPr>
          <w:rFonts w:eastAsia="Times New Roman" w:cs="Arial"/>
          <w:szCs w:val="20"/>
          <w:lang w:val="es-ES"/>
        </w:rPr>
        <w:t xml:space="preserve"> de 2013</w:t>
      </w:r>
      <w:r>
        <w:rPr>
          <w:rFonts w:eastAsia="Times New Roman" w:cs="Arial"/>
          <w:szCs w:val="20"/>
          <w:lang w:val="es-ES"/>
        </w:rPr>
        <w:t xml:space="preserve"> </w:t>
      </w:r>
      <w:r w:rsidR="00BE28AF">
        <w:rPr>
          <w:rFonts w:eastAsia="Times New Roman" w:cs="Arial"/>
          <w:szCs w:val="20"/>
          <w:lang w:val="es-ES"/>
        </w:rPr>
        <w:t>tuvo</w:t>
      </w:r>
      <w:r>
        <w:rPr>
          <w:rFonts w:eastAsia="Times New Roman" w:cs="Arial"/>
          <w:szCs w:val="20"/>
          <w:lang w:val="es-ES"/>
        </w:rPr>
        <w:t xml:space="preserve"> como</w:t>
      </w:r>
      <w:r w:rsidR="00717586">
        <w:rPr>
          <w:rFonts w:eastAsia="Times New Roman" w:cs="Arial"/>
          <w:szCs w:val="20"/>
          <w:lang w:val="es-ES"/>
        </w:rPr>
        <w:t xml:space="preserve"> uno de sus objetivos,</w:t>
      </w:r>
      <w:r>
        <w:rPr>
          <w:rFonts w:eastAsia="Times New Roman" w:cs="Arial"/>
          <w:szCs w:val="20"/>
          <w:lang w:val="es-ES"/>
        </w:rPr>
        <w:t xml:space="preserve"> </w:t>
      </w:r>
      <w:r w:rsidRPr="002F422C">
        <w:rPr>
          <w:rFonts w:eastAsia="Times New Roman" w:cs="Arial"/>
          <w:szCs w:val="20"/>
          <w:lang w:val="es-ES"/>
        </w:rPr>
        <w:t>impulsa</w:t>
      </w:r>
      <w:r>
        <w:rPr>
          <w:rFonts w:eastAsia="Times New Roman" w:cs="Arial"/>
          <w:szCs w:val="20"/>
          <w:lang w:val="es-ES"/>
        </w:rPr>
        <w:t>r</w:t>
      </w:r>
      <w:r w:rsidRPr="002F422C">
        <w:rPr>
          <w:rFonts w:eastAsia="Times New Roman" w:cs="Arial"/>
          <w:szCs w:val="20"/>
          <w:lang w:val="es-ES"/>
        </w:rPr>
        <w:t xml:space="preserve"> la presupuestación basada en resultados en el ejercicio de los recursos federales transferidos, al fortalecer el papel de las Dependencias Coordinadoras de los </w:t>
      </w:r>
      <w:r w:rsidR="00056F65">
        <w:rPr>
          <w:rFonts w:eastAsia="Times New Roman" w:cs="Arial"/>
          <w:szCs w:val="20"/>
          <w:lang w:val="es-ES"/>
        </w:rPr>
        <w:t>FAF</w:t>
      </w:r>
      <w:r w:rsidRPr="002F422C">
        <w:rPr>
          <w:rFonts w:eastAsia="Times New Roman" w:cs="Arial"/>
          <w:szCs w:val="20"/>
          <w:lang w:val="es-ES"/>
        </w:rPr>
        <w:t xml:space="preserve"> en la definición de indicadores estructurados en MIR</w:t>
      </w:r>
      <w:r w:rsidR="008F4C19">
        <w:rPr>
          <w:rFonts w:eastAsia="Times New Roman" w:cs="Arial"/>
          <w:szCs w:val="20"/>
          <w:lang w:val="es-ES"/>
        </w:rPr>
        <w:t>s</w:t>
      </w:r>
      <w:r w:rsidR="00E60B90">
        <w:rPr>
          <w:rStyle w:val="Refdenotaalpie"/>
          <w:rFonts w:eastAsia="Times New Roman" w:cs="Arial"/>
          <w:szCs w:val="20"/>
          <w:lang w:val="es-ES"/>
        </w:rPr>
        <w:footnoteReference w:id="13"/>
      </w:r>
      <w:r w:rsidRPr="002F422C">
        <w:rPr>
          <w:rFonts w:eastAsia="Times New Roman" w:cs="Arial"/>
          <w:szCs w:val="20"/>
          <w:lang w:val="es-ES"/>
        </w:rPr>
        <w:t xml:space="preserve"> para la evaluación del desempeño. Aunado a ello, se </w:t>
      </w:r>
      <w:r>
        <w:rPr>
          <w:rFonts w:eastAsia="Times New Roman" w:cs="Arial"/>
          <w:szCs w:val="20"/>
          <w:lang w:val="es-ES"/>
        </w:rPr>
        <w:t>enfatiz</w:t>
      </w:r>
      <w:r w:rsidR="000F6BFF">
        <w:rPr>
          <w:rFonts w:eastAsia="Times New Roman" w:cs="Arial"/>
          <w:szCs w:val="20"/>
          <w:lang w:val="es-ES"/>
        </w:rPr>
        <w:t>ó</w:t>
      </w:r>
      <w:r>
        <w:rPr>
          <w:rFonts w:eastAsia="Times New Roman" w:cs="Arial"/>
          <w:szCs w:val="20"/>
          <w:lang w:val="es-ES"/>
        </w:rPr>
        <w:t xml:space="preserve"> la importancia</w:t>
      </w:r>
      <w:r w:rsidRPr="002F422C">
        <w:rPr>
          <w:rFonts w:eastAsia="Times New Roman" w:cs="Arial"/>
          <w:szCs w:val="20"/>
          <w:lang w:val="es-ES"/>
        </w:rPr>
        <w:t xml:space="preserve"> </w:t>
      </w:r>
      <w:r>
        <w:rPr>
          <w:rFonts w:eastAsia="Times New Roman" w:cs="Arial"/>
          <w:szCs w:val="20"/>
          <w:lang w:val="es-ES"/>
        </w:rPr>
        <w:t>d</w:t>
      </w:r>
      <w:r w:rsidRPr="002F422C">
        <w:rPr>
          <w:rFonts w:eastAsia="Times New Roman" w:cs="Arial"/>
          <w:szCs w:val="20"/>
          <w:lang w:val="es-ES"/>
        </w:rPr>
        <w:t xml:space="preserve">el Sistema de Evaluación del </w:t>
      </w:r>
      <w:r w:rsidRPr="00DB2A4C">
        <w:t xml:space="preserve">Desempeño, </w:t>
      </w:r>
      <w:r w:rsidR="00CB383A">
        <w:t>el</w:t>
      </w:r>
      <w:r w:rsidRPr="00DB2A4C">
        <w:t xml:space="preserve"> cual privilegia el logro de resultados en el ejercicio de los recursos. </w:t>
      </w:r>
    </w:p>
    <w:p w14:paraId="0735C570" w14:textId="77777777" w:rsidR="00301DA5" w:rsidRDefault="00143E3A" w:rsidP="00932075">
      <w:pPr>
        <w:ind w:firstLine="708"/>
      </w:pPr>
      <w:r w:rsidRPr="007F0B3F">
        <w:t>D</w:t>
      </w:r>
      <w:r w:rsidR="00074AB8" w:rsidRPr="007F0B3F">
        <w:t>ado que los recursos de los</w:t>
      </w:r>
      <w:r w:rsidR="004B7294">
        <w:t xml:space="preserve"> Pp de los</w:t>
      </w:r>
      <w:r w:rsidR="00074AB8" w:rsidRPr="007F0B3F">
        <w:t xml:space="preserve"> </w:t>
      </w:r>
      <w:r w:rsidR="00056F65">
        <w:t xml:space="preserve">FAF </w:t>
      </w:r>
      <w:r w:rsidR="00074AB8" w:rsidRPr="007F0B3F">
        <w:t xml:space="preserve">del Ramo 33 son transferidos a las </w:t>
      </w:r>
      <w:r w:rsidR="00F04E57">
        <w:t>e</w:t>
      </w:r>
      <w:r w:rsidR="00F76F0E">
        <w:t>ntidades federativas</w:t>
      </w:r>
      <w:r w:rsidR="0037613E">
        <w:t xml:space="preserve"> y</w:t>
      </w:r>
      <w:r w:rsidR="00074AB8" w:rsidRPr="007F0B3F">
        <w:t xml:space="preserve"> municipios</w:t>
      </w:r>
      <w:r w:rsidRPr="007F0B3F">
        <w:t>, las metas y avances de algunos de los indicadores</w:t>
      </w:r>
      <w:r w:rsidR="004B7294">
        <w:t xml:space="preserve"> de su MIR</w:t>
      </w:r>
      <w:r w:rsidRPr="007F0B3F">
        <w:t xml:space="preserve"> </w:t>
      </w:r>
      <w:r w:rsidR="007F1404" w:rsidRPr="007F0B3F">
        <w:t xml:space="preserve">deben ser </w:t>
      </w:r>
      <w:r w:rsidRPr="007F0B3F">
        <w:t>reportados</w:t>
      </w:r>
      <w:r w:rsidR="007F1404" w:rsidRPr="007F0B3F">
        <w:t xml:space="preserve"> por l</w:t>
      </w:r>
      <w:r w:rsidRPr="007F0B3F">
        <w:t xml:space="preserve">os </w:t>
      </w:r>
      <w:r w:rsidR="00F04E57">
        <w:t>gobiernos locales</w:t>
      </w:r>
      <w:r w:rsidRPr="007F0B3F">
        <w:t xml:space="preserve"> </w:t>
      </w:r>
      <w:r w:rsidR="00CF359A" w:rsidRPr="007F0B3F">
        <w:t xml:space="preserve">a través del SFU </w:t>
      </w:r>
      <w:r w:rsidR="000F6BFF">
        <w:t>de manera trimestral</w:t>
      </w:r>
      <w:r w:rsidRPr="007F0B3F">
        <w:t>.</w:t>
      </w:r>
    </w:p>
    <w:p w14:paraId="34E3FB42" w14:textId="77777777" w:rsidR="008D6A96" w:rsidRDefault="00AA676C" w:rsidP="00932075">
      <w:pPr>
        <w:ind w:firstLine="708"/>
      </w:pPr>
      <w:r>
        <w:t>Derivado de lo anterior, cobra especial importancia e</w:t>
      </w:r>
      <w:r w:rsidR="001D3C0E" w:rsidRPr="007F0B3F">
        <w:t xml:space="preserve">l diseño </w:t>
      </w:r>
      <w:r w:rsidR="00CB383A">
        <w:t xml:space="preserve">y pertinencia </w:t>
      </w:r>
      <w:r w:rsidR="001D3C0E" w:rsidRPr="007F0B3F">
        <w:t xml:space="preserve">de los </w:t>
      </w:r>
      <w:r w:rsidR="00CB383A">
        <w:t>i</w:t>
      </w:r>
      <w:r w:rsidR="001D3C0E" w:rsidRPr="007F0B3F">
        <w:t>ndicadores</w:t>
      </w:r>
      <w:r w:rsidR="00BB7A68">
        <w:t xml:space="preserve"> </w:t>
      </w:r>
      <w:r w:rsidR="001D3C0E" w:rsidRPr="007F0B3F">
        <w:t xml:space="preserve">del Ramo 33 </w:t>
      </w:r>
      <w:r>
        <w:t>y la</w:t>
      </w:r>
      <w:r w:rsidR="00CB383A">
        <w:t xml:space="preserve"> coordinación con las entidades federativas</w:t>
      </w:r>
      <w:r>
        <w:t xml:space="preserve"> para su adecuado seguimiento</w:t>
      </w:r>
      <w:r w:rsidR="001D3C0E">
        <w:t xml:space="preserve">. </w:t>
      </w:r>
      <w:r>
        <w:t>Por ello, y dado que</w:t>
      </w:r>
      <w:r w:rsidR="00DB57D5">
        <w:t>, como se muestra en la tabla 9</w:t>
      </w:r>
      <w:r>
        <w:t xml:space="preserve">, </w:t>
      </w:r>
      <w:r w:rsidR="00DB57D5">
        <w:t xml:space="preserve">la calidad de las MIR del Ramo 33 </w:t>
      </w:r>
      <w:r>
        <w:t>no es homogénea, es indispensable continuar las acciones para fortalecer</w:t>
      </w:r>
      <w:r w:rsidR="008674AF">
        <w:t xml:space="preserve"> las MIR de los fondos de</w:t>
      </w:r>
      <w:r w:rsidR="00686B51">
        <w:t>l</w:t>
      </w:r>
      <w:r w:rsidR="008674AF">
        <w:t xml:space="preserve"> </w:t>
      </w:r>
      <w:r w:rsidR="00CB383A">
        <w:t>Ra</w:t>
      </w:r>
      <w:r w:rsidR="008674AF">
        <w:t>mo 33</w:t>
      </w:r>
      <w:r>
        <w:t>.</w:t>
      </w:r>
    </w:p>
    <w:tbl>
      <w:tblPr>
        <w:tblW w:w="8387" w:type="dxa"/>
        <w:jc w:val="center"/>
        <w:tblCellMar>
          <w:left w:w="70" w:type="dxa"/>
          <w:right w:w="70" w:type="dxa"/>
        </w:tblCellMar>
        <w:tblLook w:val="04A0" w:firstRow="1" w:lastRow="0" w:firstColumn="1" w:lastColumn="0" w:noHBand="0" w:noVBand="1"/>
      </w:tblPr>
      <w:tblGrid>
        <w:gridCol w:w="6359"/>
        <w:gridCol w:w="2028"/>
      </w:tblGrid>
      <w:tr w:rsidR="008674AF" w:rsidRPr="008674AF" w14:paraId="46496CF6" w14:textId="77777777" w:rsidTr="00735076">
        <w:trPr>
          <w:trHeight w:val="514"/>
          <w:tblHeader/>
          <w:jc w:val="center"/>
        </w:trPr>
        <w:tc>
          <w:tcPr>
            <w:tcW w:w="8387" w:type="dxa"/>
            <w:gridSpan w:val="2"/>
            <w:tcBorders>
              <w:bottom w:val="single" w:sz="8" w:space="0" w:color="auto"/>
            </w:tcBorders>
            <w:shd w:val="clear" w:color="auto" w:fill="auto"/>
            <w:vAlign w:val="center"/>
            <w:hideMark/>
          </w:tcPr>
          <w:p w14:paraId="292AD4D7" w14:textId="77777777" w:rsidR="00717586" w:rsidRDefault="008674AF" w:rsidP="003E7925">
            <w:pPr>
              <w:spacing w:after="0" w:line="240" w:lineRule="auto"/>
              <w:jc w:val="center"/>
              <w:rPr>
                <w:rFonts w:eastAsia="Times New Roman" w:cs="Times New Roman"/>
                <w:b/>
                <w:bCs/>
                <w:color w:val="000000"/>
                <w:sz w:val="20"/>
                <w:szCs w:val="20"/>
              </w:rPr>
            </w:pPr>
            <w:r w:rsidRPr="008674AF">
              <w:rPr>
                <w:rFonts w:eastAsia="Times New Roman" w:cs="Times New Roman"/>
                <w:b/>
                <w:bCs/>
                <w:color w:val="000000"/>
                <w:sz w:val="20"/>
                <w:szCs w:val="20"/>
              </w:rPr>
              <w:lastRenderedPageBreak/>
              <w:t xml:space="preserve">Tabla </w:t>
            </w:r>
            <w:r w:rsidR="003E7925">
              <w:rPr>
                <w:rFonts w:eastAsia="Times New Roman" w:cs="Times New Roman"/>
                <w:b/>
                <w:bCs/>
                <w:color w:val="000000"/>
                <w:sz w:val="20"/>
                <w:szCs w:val="20"/>
              </w:rPr>
              <w:t>8</w:t>
            </w:r>
            <w:r w:rsidRPr="008674AF">
              <w:rPr>
                <w:rFonts w:eastAsia="Times New Roman" w:cs="Times New Roman"/>
                <w:b/>
                <w:bCs/>
                <w:color w:val="000000"/>
                <w:sz w:val="20"/>
                <w:szCs w:val="20"/>
              </w:rPr>
              <w:t>.</w:t>
            </w:r>
            <w:r w:rsidR="000F6BFF">
              <w:rPr>
                <w:rFonts w:eastAsia="Times New Roman" w:cs="Times New Roman"/>
                <w:b/>
                <w:bCs/>
                <w:color w:val="000000"/>
                <w:sz w:val="20"/>
                <w:szCs w:val="20"/>
              </w:rPr>
              <w:t>Valoraciones</w:t>
            </w:r>
            <w:r w:rsidR="000F6BFF" w:rsidRPr="008674AF">
              <w:rPr>
                <w:rFonts w:eastAsia="Times New Roman" w:cs="Times New Roman"/>
                <w:b/>
                <w:bCs/>
                <w:color w:val="000000"/>
                <w:sz w:val="20"/>
                <w:szCs w:val="20"/>
              </w:rPr>
              <w:t xml:space="preserve"> </w:t>
            </w:r>
            <w:r w:rsidRPr="008674AF">
              <w:rPr>
                <w:rFonts w:eastAsia="Times New Roman" w:cs="Times New Roman"/>
                <w:b/>
                <w:bCs/>
                <w:color w:val="000000"/>
                <w:sz w:val="20"/>
                <w:szCs w:val="20"/>
              </w:rPr>
              <w:t xml:space="preserve">obtenidas en el análisis y recomendaciones </w:t>
            </w:r>
          </w:p>
          <w:p w14:paraId="6B3408FB" w14:textId="77777777" w:rsidR="008674AF" w:rsidRPr="008674AF" w:rsidRDefault="008674AF" w:rsidP="003E7925">
            <w:pPr>
              <w:spacing w:after="0" w:line="240" w:lineRule="auto"/>
              <w:jc w:val="center"/>
              <w:rPr>
                <w:rFonts w:eastAsia="Times New Roman" w:cs="Times New Roman"/>
                <w:b/>
                <w:bCs/>
                <w:color w:val="000000"/>
                <w:sz w:val="20"/>
                <w:szCs w:val="20"/>
              </w:rPr>
            </w:pPr>
            <w:r w:rsidRPr="008674AF">
              <w:rPr>
                <w:rFonts w:eastAsia="Times New Roman" w:cs="Times New Roman"/>
                <w:b/>
                <w:bCs/>
                <w:color w:val="000000"/>
                <w:sz w:val="20"/>
                <w:szCs w:val="20"/>
              </w:rPr>
              <w:t xml:space="preserve">de mejora de las MIR </w:t>
            </w:r>
            <w:r w:rsidR="00CB383A" w:rsidRPr="008674AF">
              <w:rPr>
                <w:rFonts w:eastAsia="Times New Roman" w:cs="Times New Roman"/>
                <w:b/>
                <w:bCs/>
                <w:color w:val="000000"/>
                <w:sz w:val="20"/>
                <w:szCs w:val="20"/>
              </w:rPr>
              <w:t>201</w:t>
            </w:r>
            <w:r w:rsidR="00CB383A">
              <w:rPr>
                <w:rFonts w:eastAsia="Times New Roman" w:cs="Times New Roman"/>
                <w:b/>
                <w:bCs/>
                <w:color w:val="000000"/>
                <w:sz w:val="20"/>
                <w:szCs w:val="20"/>
              </w:rPr>
              <w:t>5</w:t>
            </w:r>
          </w:p>
        </w:tc>
      </w:tr>
      <w:tr w:rsidR="008674AF" w:rsidRPr="008674AF" w14:paraId="75837652"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00853F"/>
            <w:noWrap/>
            <w:vAlign w:val="center"/>
            <w:hideMark/>
          </w:tcPr>
          <w:p w14:paraId="09E5E2E0" w14:textId="77777777" w:rsidR="008674AF" w:rsidRPr="008674AF" w:rsidRDefault="008674AF" w:rsidP="008674AF">
            <w:pPr>
              <w:spacing w:after="0" w:line="240" w:lineRule="auto"/>
              <w:jc w:val="center"/>
              <w:rPr>
                <w:rFonts w:eastAsia="Times New Roman" w:cs="Times New Roman"/>
                <w:bCs/>
                <w:color w:val="FFFFFF"/>
                <w:sz w:val="20"/>
                <w:szCs w:val="20"/>
              </w:rPr>
            </w:pPr>
            <w:r w:rsidRPr="008674AF">
              <w:rPr>
                <w:rFonts w:eastAsia="Times New Roman" w:cs="Times New Roman"/>
                <w:bCs/>
                <w:color w:val="FFFFFF"/>
                <w:sz w:val="20"/>
                <w:szCs w:val="20"/>
              </w:rPr>
              <w:t>Fondo de Aportaciones</w:t>
            </w:r>
          </w:p>
        </w:tc>
        <w:tc>
          <w:tcPr>
            <w:tcW w:w="2028" w:type="dxa"/>
            <w:tcBorders>
              <w:top w:val="nil"/>
              <w:left w:val="nil"/>
              <w:bottom w:val="single" w:sz="8" w:space="0" w:color="auto"/>
              <w:right w:val="single" w:sz="8" w:space="0" w:color="auto"/>
            </w:tcBorders>
            <w:shd w:val="clear" w:color="auto" w:fill="00853F"/>
            <w:noWrap/>
            <w:vAlign w:val="center"/>
            <w:hideMark/>
          </w:tcPr>
          <w:p w14:paraId="533D661E" w14:textId="77777777" w:rsidR="008674AF" w:rsidRPr="008674AF" w:rsidRDefault="000F6BFF" w:rsidP="008674AF">
            <w:pPr>
              <w:spacing w:after="0" w:line="240" w:lineRule="auto"/>
              <w:jc w:val="center"/>
              <w:rPr>
                <w:rFonts w:eastAsia="Times New Roman" w:cs="Times New Roman"/>
                <w:bCs/>
                <w:color w:val="FFFFFF"/>
                <w:sz w:val="20"/>
                <w:szCs w:val="20"/>
              </w:rPr>
            </w:pPr>
            <w:r>
              <w:rPr>
                <w:rFonts w:eastAsia="Times New Roman" w:cs="Times New Roman"/>
                <w:bCs/>
                <w:color w:val="FFFFFF"/>
                <w:sz w:val="20"/>
                <w:szCs w:val="20"/>
              </w:rPr>
              <w:t>Valor</w:t>
            </w:r>
            <w:r w:rsidRPr="008674AF">
              <w:rPr>
                <w:rFonts w:eastAsia="Times New Roman" w:cs="Times New Roman"/>
                <w:bCs/>
                <w:color w:val="FFFFFF"/>
                <w:sz w:val="20"/>
                <w:szCs w:val="20"/>
              </w:rPr>
              <w:t>ación</w:t>
            </w:r>
          </w:p>
        </w:tc>
      </w:tr>
      <w:tr w:rsidR="00735076" w:rsidRPr="008674AF" w14:paraId="01CFCF36"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4F5F176E"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FAIS</w:t>
            </w:r>
          </w:p>
        </w:tc>
        <w:tc>
          <w:tcPr>
            <w:tcW w:w="2028" w:type="dxa"/>
            <w:tcBorders>
              <w:top w:val="nil"/>
              <w:left w:val="nil"/>
              <w:bottom w:val="single" w:sz="8" w:space="0" w:color="auto"/>
              <w:right w:val="single" w:sz="8" w:space="0" w:color="auto"/>
            </w:tcBorders>
            <w:shd w:val="clear" w:color="000000" w:fill="D9D9D9"/>
            <w:noWrap/>
            <w:vAlign w:val="center"/>
            <w:hideMark/>
          </w:tcPr>
          <w:p w14:paraId="0E12C9AE"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87</w:t>
            </w:r>
          </w:p>
        </w:tc>
      </w:tr>
      <w:tr w:rsidR="00735076" w:rsidRPr="008674AF" w14:paraId="73708691"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1C4D0A89"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FASP</w:t>
            </w:r>
          </w:p>
        </w:tc>
        <w:tc>
          <w:tcPr>
            <w:tcW w:w="2028" w:type="dxa"/>
            <w:tcBorders>
              <w:top w:val="nil"/>
              <w:left w:val="nil"/>
              <w:bottom w:val="single" w:sz="8" w:space="0" w:color="auto"/>
              <w:right w:val="single" w:sz="8" w:space="0" w:color="auto"/>
            </w:tcBorders>
            <w:shd w:val="clear" w:color="000000" w:fill="D9D9D9"/>
            <w:noWrap/>
            <w:vAlign w:val="center"/>
            <w:hideMark/>
          </w:tcPr>
          <w:p w14:paraId="5299DAED"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79</w:t>
            </w:r>
          </w:p>
        </w:tc>
      </w:tr>
      <w:tr w:rsidR="00735076" w:rsidRPr="008674AF" w14:paraId="4E6341D0"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3EE76C07"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FAM en su componente de Infraestructura Educativa</w:t>
            </w:r>
          </w:p>
        </w:tc>
        <w:tc>
          <w:tcPr>
            <w:tcW w:w="2028" w:type="dxa"/>
            <w:tcBorders>
              <w:top w:val="nil"/>
              <w:left w:val="nil"/>
              <w:bottom w:val="single" w:sz="8" w:space="0" w:color="auto"/>
              <w:right w:val="single" w:sz="8" w:space="0" w:color="auto"/>
            </w:tcBorders>
            <w:shd w:val="clear" w:color="000000" w:fill="D9D9D9"/>
            <w:noWrap/>
            <w:vAlign w:val="center"/>
            <w:hideMark/>
          </w:tcPr>
          <w:p w14:paraId="4F280C0E"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74</w:t>
            </w:r>
          </w:p>
        </w:tc>
      </w:tr>
      <w:tr w:rsidR="00735076" w:rsidRPr="008674AF" w14:paraId="5BF31ABE"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50E0A267"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 xml:space="preserve">FAM en su componente de Asistencia Social </w:t>
            </w:r>
          </w:p>
        </w:tc>
        <w:tc>
          <w:tcPr>
            <w:tcW w:w="2028" w:type="dxa"/>
            <w:tcBorders>
              <w:top w:val="nil"/>
              <w:left w:val="nil"/>
              <w:bottom w:val="single" w:sz="8" w:space="0" w:color="auto"/>
              <w:right w:val="single" w:sz="8" w:space="0" w:color="auto"/>
            </w:tcBorders>
            <w:shd w:val="clear" w:color="000000" w:fill="D9D9D9"/>
            <w:noWrap/>
            <w:vAlign w:val="center"/>
            <w:hideMark/>
          </w:tcPr>
          <w:p w14:paraId="54C31B17"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72</w:t>
            </w:r>
          </w:p>
        </w:tc>
      </w:tr>
      <w:tr w:rsidR="00735076" w:rsidRPr="008674AF" w14:paraId="3D97F25C"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1855DF9D"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FAETA</w:t>
            </w:r>
          </w:p>
        </w:tc>
        <w:tc>
          <w:tcPr>
            <w:tcW w:w="2028" w:type="dxa"/>
            <w:tcBorders>
              <w:top w:val="nil"/>
              <w:left w:val="nil"/>
              <w:bottom w:val="single" w:sz="8" w:space="0" w:color="auto"/>
              <w:right w:val="single" w:sz="8" w:space="0" w:color="auto"/>
            </w:tcBorders>
            <w:shd w:val="clear" w:color="000000" w:fill="D9D9D9"/>
            <w:noWrap/>
            <w:vAlign w:val="center"/>
            <w:hideMark/>
          </w:tcPr>
          <w:p w14:paraId="317055CA"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69</w:t>
            </w:r>
          </w:p>
        </w:tc>
      </w:tr>
      <w:tr w:rsidR="00735076" w:rsidRPr="008674AF" w14:paraId="4326CF34"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0939944F"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FASSA</w:t>
            </w:r>
          </w:p>
        </w:tc>
        <w:tc>
          <w:tcPr>
            <w:tcW w:w="2028" w:type="dxa"/>
            <w:tcBorders>
              <w:top w:val="nil"/>
              <w:left w:val="nil"/>
              <w:bottom w:val="single" w:sz="8" w:space="0" w:color="auto"/>
              <w:right w:val="single" w:sz="8" w:space="0" w:color="auto"/>
            </w:tcBorders>
            <w:shd w:val="clear" w:color="000000" w:fill="D9D9D9"/>
            <w:noWrap/>
            <w:vAlign w:val="center"/>
            <w:hideMark/>
          </w:tcPr>
          <w:p w14:paraId="00FB48DC"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64</w:t>
            </w:r>
          </w:p>
        </w:tc>
      </w:tr>
      <w:tr w:rsidR="00735076" w:rsidRPr="008674AF" w14:paraId="492F4D73"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42E7C8F8"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FONE</w:t>
            </w:r>
          </w:p>
        </w:tc>
        <w:tc>
          <w:tcPr>
            <w:tcW w:w="2028" w:type="dxa"/>
            <w:tcBorders>
              <w:top w:val="nil"/>
              <w:left w:val="nil"/>
              <w:bottom w:val="single" w:sz="8" w:space="0" w:color="auto"/>
              <w:right w:val="single" w:sz="8" w:space="0" w:color="auto"/>
            </w:tcBorders>
            <w:shd w:val="clear" w:color="000000" w:fill="D9D9D9"/>
            <w:noWrap/>
            <w:vAlign w:val="center"/>
            <w:hideMark/>
          </w:tcPr>
          <w:p w14:paraId="5115B78C"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55</w:t>
            </w:r>
          </w:p>
        </w:tc>
      </w:tr>
      <w:tr w:rsidR="00735076" w:rsidRPr="008674AF" w14:paraId="6BF53C03"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36BB1B94"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FAFEF</w:t>
            </w:r>
          </w:p>
        </w:tc>
        <w:tc>
          <w:tcPr>
            <w:tcW w:w="2028" w:type="dxa"/>
            <w:tcBorders>
              <w:top w:val="nil"/>
              <w:left w:val="nil"/>
              <w:bottom w:val="single" w:sz="8" w:space="0" w:color="auto"/>
              <w:right w:val="single" w:sz="8" w:space="0" w:color="auto"/>
            </w:tcBorders>
            <w:shd w:val="clear" w:color="000000" w:fill="D9D9D9"/>
            <w:noWrap/>
            <w:vAlign w:val="center"/>
            <w:hideMark/>
          </w:tcPr>
          <w:p w14:paraId="431DDEB2"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45</w:t>
            </w:r>
          </w:p>
        </w:tc>
      </w:tr>
      <w:tr w:rsidR="00735076" w:rsidRPr="008674AF" w14:paraId="61C69BF6" w14:textId="77777777" w:rsidTr="00735076">
        <w:trPr>
          <w:trHeight w:val="315"/>
          <w:tblHeader/>
          <w:jc w:val="center"/>
        </w:trPr>
        <w:tc>
          <w:tcPr>
            <w:tcW w:w="6359" w:type="dxa"/>
            <w:tcBorders>
              <w:top w:val="nil"/>
              <w:left w:val="single" w:sz="8" w:space="0" w:color="auto"/>
              <w:bottom w:val="single" w:sz="8" w:space="0" w:color="auto"/>
              <w:right w:val="single" w:sz="8" w:space="0" w:color="auto"/>
            </w:tcBorders>
            <w:shd w:val="clear" w:color="auto" w:fill="auto"/>
            <w:noWrap/>
            <w:vAlign w:val="center"/>
            <w:hideMark/>
          </w:tcPr>
          <w:p w14:paraId="3A0C27C4" w14:textId="77777777" w:rsidR="00735076" w:rsidRPr="008674AF" w:rsidRDefault="00735076" w:rsidP="00735076">
            <w:pPr>
              <w:spacing w:after="0" w:line="240" w:lineRule="auto"/>
              <w:jc w:val="left"/>
              <w:rPr>
                <w:rFonts w:eastAsia="Times New Roman" w:cs="Times New Roman"/>
                <w:bCs/>
                <w:color w:val="000000"/>
                <w:sz w:val="20"/>
                <w:szCs w:val="20"/>
              </w:rPr>
            </w:pPr>
            <w:r>
              <w:rPr>
                <w:color w:val="000000"/>
                <w:sz w:val="20"/>
                <w:szCs w:val="20"/>
              </w:rPr>
              <w:t>FORTAMUN</w:t>
            </w:r>
          </w:p>
        </w:tc>
        <w:tc>
          <w:tcPr>
            <w:tcW w:w="2028" w:type="dxa"/>
            <w:tcBorders>
              <w:top w:val="nil"/>
              <w:left w:val="nil"/>
              <w:bottom w:val="single" w:sz="8" w:space="0" w:color="auto"/>
              <w:right w:val="single" w:sz="8" w:space="0" w:color="auto"/>
            </w:tcBorders>
            <w:shd w:val="clear" w:color="000000" w:fill="D9D9D9"/>
            <w:noWrap/>
            <w:vAlign w:val="center"/>
            <w:hideMark/>
          </w:tcPr>
          <w:p w14:paraId="7F5E5A99" w14:textId="77777777" w:rsidR="00735076" w:rsidRPr="008674AF" w:rsidRDefault="00735076" w:rsidP="00735076">
            <w:pPr>
              <w:spacing w:after="0" w:line="240" w:lineRule="auto"/>
              <w:jc w:val="center"/>
              <w:rPr>
                <w:rFonts w:eastAsia="Times New Roman" w:cs="Times New Roman"/>
                <w:color w:val="000000"/>
                <w:sz w:val="20"/>
                <w:szCs w:val="20"/>
              </w:rPr>
            </w:pPr>
            <w:r>
              <w:rPr>
                <w:color w:val="000000"/>
                <w:sz w:val="20"/>
                <w:szCs w:val="20"/>
              </w:rPr>
              <w:t>36</w:t>
            </w:r>
          </w:p>
        </w:tc>
      </w:tr>
      <w:tr w:rsidR="002778A1" w:rsidRPr="008674AF" w14:paraId="6AAF4E44" w14:textId="77777777" w:rsidTr="00735076">
        <w:trPr>
          <w:trHeight w:val="315"/>
          <w:tblHeader/>
          <w:jc w:val="center"/>
        </w:trPr>
        <w:tc>
          <w:tcPr>
            <w:tcW w:w="8387" w:type="dxa"/>
            <w:gridSpan w:val="2"/>
            <w:tcBorders>
              <w:top w:val="single" w:sz="4" w:space="0" w:color="auto"/>
            </w:tcBorders>
            <w:shd w:val="clear" w:color="auto" w:fill="auto"/>
            <w:noWrap/>
          </w:tcPr>
          <w:p w14:paraId="1B5A1A4A" w14:textId="77777777" w:rsidR="002778A1" w:rsidRPr="0027008C" w:rsidRDefault="002778A1" w:rsidP="00E81B85">
            <w:pPr>
              <w:spacing w:after="0"/>
              <w:rPr>
                <w:rFonts w:eastAsia="Times New Roman" w:cs="Times New Roman"/>
                <w:color w:val="000000"/>
                <w:sz w:val="20"/>
                <w:szCs w:val="20"/>
              </w:rPr>
            </w:pPr>
            <w:r w:rsidRPr="00E81B85">
              <w:rPr>
                <w:sz w:val="18"/>
              </w:rPr>
              <w:t>Fuente: Información obtenida del análisis y recomendaciones de mejora de las MIR 201</w:t>
            </w:r>
            <w:r w:rsidR="00CB383A" w:rsidRPr="00E81B85">
              <w:rPr>
                <w:sz w:val="18"/>
              </w:rPr>
              <w:t>5</w:t>
            </w:r>
          </w:p>
        </w:tc>
      </w:tr>
    </w:tbl>
    <w:p w14:paraId="625A682F" w14:textId="77777777" w:rsidR="009B4F45" w:rsidRDefault="009B4F45" w:rsidP="002778A1">
      <w:pPr>
        <w:tabs>
          <w:tab w:val="left" w:pos="4920"/>
        </w:tabs>
        <w:jc w:val="center"/>
      </w:pPr>
    </w:p>
    <w:p w14:paraId="415BB8FA" w14:textId="1ED50BC5" w:rsidR="00AA676C" w:rsidRDefault="00F50350" w:rsidP="00B86A00">
      <w:pPr>
        <w:spacing w:after="0"/>
        <w:ind w:firstLine="709"/>
      </w:pPr>
      <w:r>
        <w:t>Por otro lado, en cuanto al reporte de indicadores, e</w:t>
      </w:r>
      <w:r w:rsidR="00BE28AF">
        <w:t xml:space="preserve">l principal </w:t>
      </w:r>
      <w:r>
        <w:t xml:space="preserve">problema </w:t>
      </w:r>
      <w:r w:rsidR="00D97158" w:rsidRPr="007F0B3F">
        <w:t xml:space="preserve">detectado es </w:t>
      </w:r>
      <w:r w:rsidR="00AA676C">
        <w:t xml:space="preserve">que </w:t>
      </w:r>
      <w:r w:rsidRPr="00AA676C">
        <w:rPr>
          <w:b/>
        </w:rPr>
        <w:t xml:space="preserve">durante </w:t>
      </w:r>
      <w:r w:rsidR="00AA676C">
        <w:rPr>
          <w:b/>
        </w:rPr>
        <w:t xml:space="preserve">el primer trimestre de </w:t>
      </w:r>
      <w:r w:rsidRPr="00AA676C">
        <w:rPr>
          <w:b/>
        </w:rPr>
        <w:t>2015</w:t>
      </w:r>
      <w:r w:rsidR="00AA676C">
        <w:rPr>
          <w:b/>
        </w:rPr>
        <w:t xml:space="preserve"> los gobiernos locales no</w:t>
      </w:r>
      <w:r w:rsidR="00CF359A" w:rsidRPr="00AA676C">
        <w:rPr>
          <w:b/>
        </w:rPr>
        <w:t xml:space="preserve"> reporta</w:t>
      </w:r>
      <w:r w:rsidRPr="00AA676C">
        <w:rPr>
          <w:b/>
        </w:rPr>
        <w:t>ro</w:t>
      </w:r>
      <w:r w:rsidR="00CF359A" w:rsidRPr="00AA676C">
        <w:rPr>
          <w:b/>
        </w:rPr>
        <w:t>n las metas de los indicadores</w:t>
      </w:r>
      <w:r>
        <w:t xml:space="preserve">. </w:t>
      </w:r>
      <w:r w:rsidR="00BE4B8C" w:rsidRPr="000221ED">
        <w:t xml:space="preserve">Cabe resaltar que la falta de </w:t>
      </w:r>
      <w:r w:rsidR="00AA676C">
        <w:t xml:space="preserve">establecimiento de metas al inicio del año evidencia </w:t>
      </w:r>
      <w:r w:rsidR="00BD5BAF">
        <w:t>una</w:t>
      </w:r>
      <w:r w:rsidR="00AA676C">
        <w:t xml:space="preserve"> ausencia de planeación y orientación a resultados, por lo que constituye la principal debilidad para el cabal cumplimiento de lo establecido por la normatividad de referencia en materia de registro de los resultados de la aplicación de los recursos federales transferidos.</w:t>
      </w:r>
    </w:p>
    <w:p w14:paraId="76D429DB" w14:textId="77777777" w:rsidR="00BE4B8C" w:rsidRDefault="00AA676C" w:rsidP="00BE4B8C">
      <w:pPr>
        <w:spacing w:after="0"/>
        <w:ind w:firstLine="708"/>
      </w:pPr>
      <w:r>
        <w:t xml:space="preserve">Adicionalmente, dado que </w:t>
      </w:r>
      <w:r w:rsidRPr="005748A4">
        <w:rPr>
          <w:b/>
        </w:rPr>
        <w:t>el registro de metas de los indicadores solo puede realizarse durante el primer trimestre del año</w:t>
      </w:r>
      <w:r>
        <w:t xml:space="preserve">, la ausencia del reporte oportuno determina negativamente la calificación de este componente del ICI </w:t>
      </w:r>
      <w:r w:rsidR="005748A4">
        <w:t xml:space="preserve">para la entidad federativa </w:t>
      </w:r>
      <w:r>
        <w:t>por el resto del año</w:t>
      </w:r>
      <w:r w:rsidR="005748A4">
        <w:t>,</w:t>
      </w:r>
      <w:r>
        <w:t xml:space="preserve"> sin posibilidad de</w:t>
      </w:r>
      <w:r w:rsidR="005748A4">
        <w:t xml:space="preserve"> que se revierta esta tendencia hasta el siguiente ejercicio fiscal.</w:t>
      </w:r>
    </w:p>
    <w:p w14:paraId="4456AAFF" w14:textId="6E3138B7" w:rsidR="00BD5BAF" w:rsidRDefault="00717586" w:rsidP="001C2F3C">
      <w:pPr>
        <w:ind w:firstLine="709"/>
      </w:pPr>
      <w:r>
        <w:t>Además</w:t>
      </w:r>
      <w:r w:rsidR="009F3E61">
        <w:t xml:space="preserve">, </w:t>
      </w:r>
      <w:r w:rsidR="001C2F3C">
        <w:t xml:space="preserve">existe </w:t>
      </w:r>
      <w:r w:rsidR="005748A4">
        <w:t xml:space="preserve">un reto a nivel nacional en lo que se refiere al componente de indicadores, </w:t>
      </w:r>
      <w:r w:rsidR="00BD5BAF">
        <w:t xml:space="preserve">que </w:t>
      </w:r>
      <w:r w:rsidR="005748A4">
        <w:t>corresponde</w:t>
      </w:r>
      <w:r w:rsidR="009F3E61">
        <w:t xml:space="preserve"> </w:t>
      </w:r>
      <w:r w:rsidR="009F3E61" w:rsidRPr="001C2F3C">
        <w:rPr>
          <w:b/>
        </w:rPr>
        <w:t>las metas</w:t>
      </w:r>
      <w:r w:rsidR="001C2F3C" w:rsidRPr="001C2F3C">
        <w:rPr>
          <w:b/>
        </w:rPr>
        <w:t xml:space="preserve"> </w:t>
      </w:r>
      <w:r w:rsidR="00BD5BAF">
        <w:rPr>
          <w:b/>
        </w:rPr>
        <w:t xml:space="preserve">que </w:t>
      </w:r>
      <w:r w:rsidR="009F3E61" w:rsidRPr="001C2F3C">
        <w:rPr>
          <w:b/>
        </w:rPr>
        <w:t xml:space="preserve">presentan </w:t>
      </w:r>
      <w:r w:rsidR="009B4F45" w:rsidRPr="001C2F3C">
        <w:rPr>
          <w:b/>
        </w:rPr>
        <w:t>inconsistencias</w:t>
      </w:r>
      <w:r w:rsidR="00DA28F2" w:rsidRPr="001C2F3C">
        <w:rPr>
          <w:b/>
        </w:rPr>
        <w:t xml:space="preserve"> en alguna de las</w:t>
      </w:r>
      <w:r w:rsidR="005748A4" w:rsidRPr="001C2F3C">
        <w:rPr>
          <w:b/>
        </w:rPr>
        <w:t xml:space="preserve"> categorías de los indicadores</w:t>
      </w:r>
      <w:r w:rsidR="00DB57D5">
        <w:t xml:space="preserve">, </w:t>
      </w:r>
      <w:r w:rsidR="001C2F3C">
        <w:t>a pesar de ser registradas en tiempo.</w:t>
      </w:r>
    </w:p>
    <w:p w14:paraId="4BEADCF7" w14:textId="77777777" w:rsidR="00662E77" w:rsidRDefault="00BD5BAF" w:rsidP="006D0DBD">
      <w:pPr>
        <w:spacing w:line="276" w:lineRule="auto"/>
        <w:jc w:val="left"/>
      </w:pPr>
      <w:r>
        <w:br w:type="page"/>
      </w:r>
    </w:p>
    <w:tbl>
      <w:tblPr>
        <w:tblpPr w:leftFromText="141" w:rightFromText="141" w:vertAnchor="text" w:horzAnchor="margin" w:tblpXSpec="center" w:tblpY="3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7234"/>
      </w:tblGrid>
      <w:tr w:rsidR="00DA28F2" w:rsidRPr="00DA28F2" w14:paraId="081FC95C" w14:textId="77777777" w:rsidTr="00255230">
        <w:trPr>
          <w:trHeight w:val="216"/>
        </w:trPr>
        <w:tc>
          <w:tcPr>
            <w:tcW w:w="8789" w:type="dxa"/>
            <w:gridSpan w:val="2"/>
            <w:tcBorders>
              <w:top w:val="nil"/>
              <w:left w:val="nil"/>
              <w:right w:val="nil"/>
            </w:tcBorders>
            <w:shd w:val="clear" w:color="auto" w:fill="auto"/>
            <w:tcMar>
              <w:top w:w="72" w:type="dxa"/>
              <w:left w:w="144" w:type="dxa"/>
              <w:bottom w:w="72" w:type="dxa"/>
              <w:right w:w="144" w:type="dxa"/>
            </w:tcMar>
          </w:tcPr>
          <w:p w14:paraId="0C2BD1E4" w14:textId="77777777" w:rsidR="00DA28F2" w:rsidRPr="009B508D" w:rsidRDefault="00DA28F2" w:rsidP="003E7925">
            <w:pPr>
              <w:autoSpaceDE w:val="0"/>
              <w:autoSpaceDN w:val="0"/>
              <w:adjustRightInd w:val="0"/>
              <w:spacing w:after="0" w:line="240" w:lineRule="auto"/>
              <w:jc w:val="center"/>
              <w:rPr>
                <w:b/>
                <w:iCs/>
                <w:sz w:val="20"/>
                <w:szCs w:val="20"/>
              </w:rPr>
            </w:pPr>
            <w:r w:rsidRPr="009B508D">
              <w:rPr>
                <w:rStyle w:val="nfasissutil"/>
                <w:b/>
                <w:i w:val="0"/>
                <w:sz w:val="20"/>
                <w:szCs w:val="20"/>
              </w:rPr>
              <w:lastRenderedPageBreak/>
              <w:t xml:space="preserve">Tabla </w:t>
            </w:r>
            <w:r w:rsidR="003E7925">
              <w:rPr>
                <w:rStyle w:val="nfasissutil"/>
                <w:b/>
                <w:i w:val="0"/>
                <w:sz w:val="20"/>
                <w:szCs w:val="20"/>
              </w:rPr>
              <w:t>9</w:t>
            </w:r>
            <w:r w:rsidRPr="009B508D">
              <w:rPr>
                <w:rStyle w:val="nfasissutil"/>
                <w:b/>
                <w:i w:val="0"/>
                <w:sz w:val="20"/>
                <w:szCs w:val="20"/>
              </w:rPr>
              <w:t>. Elementos de los indicadores</w:t>
            </w:r>
          </w:p>
        </w:tc>
      </w:tr>
      <w:tr w:rsidR="00DA28F2" w:rsidRPr="00DA28F2" w14:paraId="392AFEDA" w14:textId="77777777" w:rsidTr="00255230">
        <w:trPr>
          <w:trHeight w:val="216"/>
        </w:trPr>
        <w:tc>
          <w:tcPr>
            <w:tcW w:w="1555" w:type="dxa"/>
            <w:shd w:val="clear" w:color="auto" w:fill="00853F"/>
            <w:tcMar>
              <w:top w:w="72" w:type="dxa"/>
              <w:left w:w="144" w:type="dxa"/>
              <w:bottom w:w="72" w:type="dxa"/>
              <w:right w:w="144" w:type="dxa"/>
            </w:tcMar>
            <w:hideMark/>
          </w:tcPr>
          <w:p w14:paraId="467C845F" w14:textId="77777777" w:rsidR="00DA28F2" w:rsidRPr="009B508D" w:rsidRDefault="00DA28F2" w:rsidP="009B508D">
            <w:pPr>
              <w:spacing w:after="0" w:line="240" w:lineRule="auto"/>
              <w:jc w:val="center"/>
              <w:rPr>
                <w:rFonts w:eastAsia="Times New Roman" w:cs="Times New Roman"/>
                <w:b/>
                <w:bCs/>
                <w:color w:val="FFFFFF" w:themeColor="background1"/>
                <w:sz w:val="20"/>
                <w:szCs w:val="20"/>
              </w:rPr>
            </w:pPr>
            <w:r w:rsidRPr="009B508D">
              <w:rPr>
                <w:rFonts w:eastAsia="Times New Roman" w:cs="Times New Roman"/>
                <w:b/>
                <w:bCs/>
                <w:color w:val="FFFFFF" w:themeColor="background1"/>
                <w:sz w:val="20"/>
                <w:szCs w:val="20"/>
              </w:rPr>
              <w:t>Elemento</w:t>
            </w:r>
          </w:p>
        </w:tc>
        <w:tc>
          <w:tcPr>
            <w:tcW w:w="7234" w:type="dxa"/>
            <w:shd w:val="clear" w:color="auto" w:fill="00853F"/>
            <w:tcMar>
              <w:top w:w="72" w:type="dxa"/>
              <w:left w:w="144" w:type="dxa"/>
              <w:bottom w:w="72" w:type="dxa"/>
              <w:right w:w="144" w:type="dxa"/>
            </w:tcMar>
            <w:hideMark/>
          </w:tcPr>
          <w:p w14:paraId="31EF01F6" w14:textId="77777777" w:rsidR="00DA28F2" w:rsidRPr="009B508D" w:rsidRDefault="00DA28F2" w:rsidP="009B508D">
            <w:pPr>
              <w:spacing w:after="0" w:line="240" w:lineRule="auto"/>
              <w:jc w:val="center"/>
              <w:rPr>
                <w:rFonts w:eastAsia="Times New Roman" w:cs="Times New Roman"/>
                <w:b/>
                <w:bCs/>
                <w:color w:val="FFFFFF" w:themeColor="background1"/>
                <w:sz w:val="20"/>
                <w:szCs w:val="20"/>
              </w:rPr>
            </w:pPr>
            <w:r w:rsidRPr="009B508D">
              <w:rPr>
                <w:rFonts w:eastAsia="Times New Roman" w:cs="Times New Roman"/>
                <w:b/>
                <w:bCs/>
                <w:color w:val="FFFFFF" w:themeColor="background1"/>
                <w:sz w:val="20"/>
                <w:szCs w:val="20"/>
              </w:rPr>
              <w:t>Descripción</w:t>
            </w:r>
          </w:p>
        </w:tc>
      </w:tr>
      <w:tr w:rsidR="00DA28F2" w:rsidRPr="00DA28F2" w14:paraId="1387BEDA" w14:textId="77777777" w:rsidTr="00255230">
        <w:trPr>
          <w:trHeight w:val="216"/>
        </w:trPr>
        <w:tc>
          <w:tcPr>
            <w:tcW w:w="1555" w:type="dxa"/>
            <w:shd w:val="clear" w:color="auto" w:fill="auto"/>
            <w:tcMar>
              <w:top w:w="72" w:type="dxa"/>
              <w:left w:w="144" w:type="dxa"/>
              <w:bottom w:w="72" w:type="dxa"/>
              <w:right w:w="144" w:type="dxa"/>
            </w:tcMar>
            <w:vAlign w:val="center"/>
            <w:hideMark/>
          </w:tcPr>
          <w:p w14:paraId="417FCBC9" w14:textId="77777777"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Meta planeada</w:t>
            </w:r>
          </w:p>
        </w:tc>
        <w:tc>
          <w:tcPr>
            <w:tcW w:w="7234" w:type="dxa"/>
            <w:shd w:val="clear" w:color="auto" w:fill="auto"/>
            <w:tcMar>
              <w:top w:w="72" w:type="dxa"/>
              <w:left w:w="144" w:type="dxa"/>
              <w:bottom w:w="72" w:type="dxa"/>
              <w:right w:w="144" w:type="dxa"/>
            </w:tcMar>
            <w:hideMark/>
          </w:tcPr>
          <w:p w14:paraId="5EB9A8A6" w14:textId="7159AE80"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Objetivo que pretende alcanzar el indicador en el per</w:t>
            </w:r>
            <w:r w:rsidR="0027008C">
              <w:rPr>
                <w:rFonts w:eastAsia="Times New Roman" w:cs="Times New Roman"/>
                <w:bCs/>
                <w:sz w:val="20"/>
                <w:szCs w:val="20"/>
              </w:rPr>
              <w:t>i</w:t>
            </w:r>
            <w:r w:rsidRPr="009B508D">
              <w:rPr>
                <w:rFonts w:eastAsia="Times New Roman" w:cs="Times New Roman"/>
                <w:bCs/>
                <w:sz w:val="20"/>
                <w:szCs w:val="20"/>
              </w:rPr>
              <w:t>odo de reporte. Dependiendo de si es un indicador absoluto o relativo, se compondrá por numerador y denominador.</w:t>
            </w:r>
          </w:p>
        </w:tc>
      </w:tr>
      <w:tr w:rsidR="00DA28F2" w:rsidRPr="00DA28F2" w14:paraId="76E22566" w14:textId="77777777" w:rsidTr="00255230">
        <w:trPr>
          <w:trHeight w:val="35"/>
        </w:trPr>
        <w:tc>
          <w:tcPr>
            <w:tcW w:w="1555" w:type="dxa"/>
            <w:shd w:val="clear" w:color="auto" w:fill="auto"/>
            <w:tcMar>
              <w:top w:w="72" w:type="dxa"/>
              <w:left w:w="144" w:type="dxa"/>
              <w:bottom w:w="72" w:type="dxa"/>
              <w:right w:w="144" w:type="dxa"/>
            </w:tcMar>
            <w:vAlign w:val="center"/>
            <w:hideMark/>
          </w:tcPr>
          <w:p w14:paraId="59B15CCD" w14:textId="77777777"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Meta alcanzada</w:t>
            </w:r>
          </w:p>
        </w:tc>
        <w:tc>
          <w:tcPr>
            <w:tcW w:w="7234" w:type="dxa"/>
            <w:shd w:val="clear" w:color="auto" w:fill="auto"/>
            <w:tcMar>
              <w:top w:w="72" w:type="dxa"/>
              <w:left w:w="144" w:type="dxa"/>
              <w:bottom w:w="72" w:type="dxa"/>
              <w:right w:w="144" w:type="dxa"/>
            </w:tcMar>
            <w:hideMark/>
          </w:tcPr>
          <w:p w14:paraId="044219BD" w14:textId="1888659B"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Objetivo que alcanzó el indicador en el per</w:t>
            </w:r>
            <w:r w:rsidR="0027008C">
              <w:rPr>
                <w:rFonts w:eastAsia="Times New Roman" w:cs="Times New Roman"/>
                <w:bCs/>
                <w:sz w:val="20"/>
                <w:szCs w:val="20"/>
              </w:rPr>
              <w:t>i</w:t>
            </w:r>
            <w:r w:rsidRPr="009B508D">
              <w:rPr>
                <w:rFonts w:eastAsia="Times New Roman" w:cs="Times New Roman"/>
                <w:bCs/>
                <w:sz w:val="20"/>
                <w:szCs w:val="20"/>
              </w:rPr>
              <w:t xml:space="preserve">odo de reporte. Dependiendo de si es un indicador absoluto o relativo, se compondrá por numerador y denominador. </w:t>
            </w:r>
          </w:p>
        </w:tc>
      </w:tr>
      <w:tr w:rsidR="00DA28F2" w:rsidRPr="00DA28F2" w14:paraId="137DE6F0" w14:textId="77777777" w:rsidTr="00255230">
        <w:trPr>
          <w:trHeight w:val="72"/>
        </w:trPr>
        <w:tc>
          <w:tcPr>
            <w:tcW w:w="1555" w:type="dxa"/>
            <w:shd w:val="clear" w:color="auto" w:fill="auto"/>
            <w:tcMar>
              <w:top w:w="72" w:type="dxa"/>
              <w:left w:w="144" w:type="dxa"/>
              <w:bottom w:w="72" w:type="dxa"/>
              <w:right w:w="144" w:type="dxa"/>
            </w:tcMar>
            <w:vAlign w:val="center"/>
            <w:hideMark/>
          </w:tcPr>
          <w:p w14:paraId="5CC1ADAB" w14:textId="77777777"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Justificación de variaciones</w:t>
            </w:r>
          </w:p>
        </w:tc>
        <w:tc>
          <w:tcPr>
            <w:tcW w:w="7234" w:type="dxa"/>
            <w:shd w:val="clear" w:color="auto" w:fill="auto"/>
            <w:tcMar>
              <w:top w:w="72" w:type="dxa"/>
              <w:left w:w="144" w:type="dxa"/>
              <w:bottom w:w="72" w:type="dxa"/>
              <w:right w:w="144" w:type="dxa"/>
            </w:tcMar>
            <w:hideMark/>
          </w:tcPr>
          <w:p w14:paraId="0D305D74" w14:textId="77777777" w:rsidR="00DA28F2" w:rsidRPr="009B508D" w:rsidRDefault="00DA28F2" w:rsidP="009B508D">
            <w:pPr>
              <w:spacing w:after="0" w:line="240" w:lineRule="auto"/>
              <w:jc w:val="center"/>
              <w:rPr>
                <w:rFonts w:eastAsia="Times New Roman" w:cs="Times New Roman"/>
                <w:bCs/>
                <w:sz w:val="20"/>
                <w:szCs w:val="20"/>
              </w:rPr>
            </w:pPr>
            <w:r w:rsidRPr="009B508D">
              <w:rPr>
                <w:rFonts w:eastAsia="Times New Roman" w:cs="Times New Roman"/>
                <w:bCs/>
                <w:sz w:val="20"/>
                <w:szCs w:val="20"/>
              </w:rPr>
              <w:t xml:space="preserve">Explicación de la diferencia entre la meta alcanzada y la meta planeada. No necesariamente tiene una connotación negativa el no alcanzar la meta planeada, depende de la explicación. </w:t>
            </w:r>
          </w:p>
        </w:tc>
      </w:tr>
    </w:tbl>
    <w:p w14:paraId="601136B7" w14:textId="77777777" w:rsidR="000221ED" w:rsidRPr="00E80EDF" w:rsidRDefault="000221ED" w:rsidP="00E80EDF">
      <w:pPr>
        <w:spacing w:after="0" w:line="240" w:lineRule="auto"/>
        <w:rPr>
          <w:sz w:val="18"/>
        </w:rPr>
      </w:pPr>
      <w:r w:rsidRPr="00E80EDF">
        <w:rPr>
          <w:sz w:val="18"/>
        </w:rPr>
        <w:t>Fuente: Guía de criterios para el reporte del ejercicio, destino y resultados de los recursos federales transferidos.</w:t>
      </w:r>
    </w:p>
    <w:p w14:paraId="0F6CE6CC" w14:textId="77777777" w:rsidR="001C2F3C" w:rsidRPr="009B508D" w:rsidRDefault="001C2F3C" w:rsidP="000221ED">
      <w:pPr>
        <w:spacing w:line="240" w:lineRule="auto"/>
        <w:jc w:val="center"/>
        <w:rPr>
          <w:sz w:val="20"/>
        </w:rPr>
      </w:pPr>
    </w:p>
    <w:p w14:paraId="5FDECB31" w14:textId="1CE058C3" w:rsidR="005748A4" w:rsidRDefault="005748A4" w:rsidP="00E81B85">
      <w:pPr>
        <w:ind w:firstLine="709"/>
      </w:pPr>
      <w:r>
        <w:t>Cabe destacar que, derivado de la operación del SFU y del análisis de observaciones de los órganos de fiscalización, resalta que los principales errores</w:t>
      </w:r>
      <w:r w:rsidR="00DA28F2">
        <w:t xml:space="preserve"> se encuentran en el cálculo o respecto a </w:t>
      </w:r>
      <w:r w:rsidR="009F3E61">
        <w:t>los posibles</w:t>
      </w:r>
      <w:r w:rsidR="00E00549">
        <w:t xml:space="preserve"> valores</w:t>
      </w:r>
      <w:r w:rsidR="009F3E61">
        <w:t xml:space="preserve"> </w:t>
      </w:r>
      <w:r w:rsidR="00E00549">
        <w:t>máximos que pudieran alcanzar</w:t>
      </w:r>
      <w:r w:rsidR="00AC01DE">
        <w:t xml:space="preserve"> tanto las metas y avances reportados para los indicadores</w:t>
      </w:r>
      <w:r w:rsidR="00BD5BAF">
        <w:t>. P</w:t>
      </w:r>
      <w:r>
        <w:t xml:space="preserve">or ejemplo, existen registros </w:t>
      </w:r>
      <w:r w:rsidR="0027008C">
        <w:t xml:space="preserve">que se señalan como </w:t>
      </w:r>
      <w:r>
        <w:t xml:space="preserve">porcentajes en indicadores </w:t>
      </w:r>
      <w:r w:rsidR="0027008C">
        <w:t>cuando en realidad correspo</w:t>
      </w:r>
      <w:r w:rsidR="00E943E2">
        <w:t>n</w:t>
      </w:r>
      <w:r w:rsidR="0027008C">
        <w:t xml:space="preserve">den </w:t>
      </w:r>
      <w:r>
        <w:t>a valores absolutos.</w:t>
      </w:r>
    </w:p>
    <w:p w14:paraId="012601A7" w14:textId="31DA6296" w:rsidR="00E8635E" w:rsidRDefault="00AC01DE" w:rsidP="002778A1">
      <w:pPr>
        <w:ind w:firstLine="709"/>
      </w:pPr>
      <w:r>
        <w:t xml:space="preserve"> S</w:t>
      </w:r>
      <w:r w:rsidR="00F04E57">
        <w:t>in embargo</w:t>
      </w:r>
      <w:r>
        <w:t>,</w:t>
      </w:r>
      <w:r w:rsidR="00F04E57">
        <w:t xml:space="preserve"> </w:t>
      </w:r>
      <w:r w:rsidR="00BE736A">
        <w:t>para 2015 fueron</w:t>
      </w:r>
      <w:r w:rsidR="00A433C6">
        <w:t xml:space="preserve"> remitidos </w:t>
      </w:r>
      <w:r>
        <w:t>a las secretarías de finanzas estatales o su equivalente</w:t>
      </w:r>
      <w:r w:rsidDel="00AC01DE">
        <w:t xml:space="preserve"> </w:t>
      </w:r>
      <w:r>
        <w:t xml:space="preserve">los </w:t>
      </w:r>
      <w:r w:rsidR="00A433C6">
        <w:t>valores</w:t>
      </w:r>
      <w:r>
        <w:t xml:space="preserve"> máxim</w:t>
      </w:r>
      <w:r w:rsidR="0037613E">
        <w:t>os</w:t>
      </w:r>
      <w:r>
        <w:t xml:space="preserve"> y mínimos que pudieran alcanzar los indicadores</w:t>
      </w:r>
      <w:r w:rsidR="00BE736A">
        <w:t>, los cuales fueron establecidos por l</w:t>
      </w:r>
      <w:r w:rsidR="00BE4B8C">
        <w:t>a</w:t>
      </w:r>
      <w:r w:rsidR="00BE736A">
        <w:t xml:space="preserve">s </w:t>
      </w:r>
      <w:r w:rsidR="00BE4B8C">
        <w:t xml:space="preserve">Dependencias </w:t>
      </w:r>
      <w:r w:rsidR="00BE736A">
        <w:t>Coordinador</w:t>
      </w:r>
      <w:r w:rsidR="00BE4B8C">
        <w:t>a</w:t>
      </w:r>
      <w:r w:rsidR="00BE736A">
        <w:t xml:space="preserve">s de los </w:t>
      </w:r>
      <w:r w:rsidR="00BE4B8C">
        <w:t>FAF</w:t>
      </w:r>
      <w:r w:rsidR="0030241C">
        <w:rPr>
          <w:rStyle w:val="Refdenotaalpie"/>
        </w:rPr>
        <w:footnoteReference w:id="14"/>
      </w:r>
      <w:r>
        <w:t xml:space="preserve">, </w:t>
      </w:r>
      <w:r w:rsidR="00F04E57">
        <w:t>con el objetivo de qu</w:t>
      </w:r>
      <w:r w:rsidR="0035630B">
        <w:t>e dichos criterios</w:t>
      </w:r>
      <w:r w:rsidR="0037613E">
        <w:t xml:space="preserve"> fueran</w:t>
      </w:r>
      <w:r w:rsidR="0035630B">
        <w:t xml:space="preserve"> </w:t>
      </w:r>
      <w:r w:rsidR="0037613E">
        <w:t xml:space="preserve">difundidos </w:t>
      </w:r>
      <w:r w:rsidR="0035630B">
        <w:t>y</w:t>
      </w:r>
      <w:r w:rsidR="00F04E57">
        <w:t xml:space="preserve"> </w:t>
      </w:r>
      <w:r w:rsidR="0037613E">
        <w:t xml:space="preserve">verificados </w:t>
      </w:r>
      <w:r w:rsidR="00F04E57">
        <w:t>durante la captura y validación de información.</w:t>
      </w:r>
    </w:p>
    <w:p w14:paraId="2A1A17E5" w14:textId="77777777" w:rsidR="00E8635E" w:rsidRDefault="00E8635E" w:rsidP="00301DA5">
      <w:pPr>
        <w:pStyle w:val="Ttulo3"/>
      </w:pPr>
      <w:bookmarkStart w:id="14" w:name="_Toc447904085"/>
      <w:r>
        <w:t>Evaluaciones</w:t>
      </w:r>
      <w:bookmarkEnd w:id="14"/>
      <w:r>
        <w:t xml:space="preserve"> </w:t>
      </w:r>
    </w:p>
    <w:p w14:paraId="461376D2" w14:textId="77777777" w:rsidR="00422D13" w:rsidRDefault="005748A4" w:rsidP="000605C8">
      <w:pPr>
        <w:rPr>
          <w:sz w:val="20"/>
        </w:rPr>
      </w:pPr>
      <w:r>
        <w:t>Para asegurar la orientación a resultados y la mejora continua de las intervenciones de política pública mediante las que los gobiernos locales ejercen los recursos que la federación les transfiere, es indispensable la evaluaci</w:t>
      </w:r>
      <w:r w:rsidR="00422D13">
        <w:t xml:space="preserve">ón de las mismas. </w:t>
      </w:r>
    </w:p>
    <w:p w14:paraId="73C23854" w14:textId="2204D768" w:rsidR="00A343FC" w:rsidRDefault="00D12079" w:rsidP="00D3361E">
      <w:pPr>
        <w:ind w:firstLine="709"/>
      </w:pPr>
      <w:r>
        <w:lastRenderedPageBreak/>
        <w:t>No obstante</w:t>
      </w:r>
      <w:r w:rsidR="00E943E2">
        <w:t>,</w:t>
      </w:r>
      <w:r>
        <w:t xml:space="preserve"> se trata de una de las áreas de oportunidad más importantes en materia de sensibilización y avance de la implementación de los principios de la presupuestación basada en resultados. En este sentido, el gráfico </w:t>
      </w:r>
      <w:r w:rsidR="00662E77">
        <w:t>8</w:t>
      </w:r>
      <w:r>
        <w:t xml:space="preserve"> muestra que de </w:t>
      </w:r>
      <w:r w:rsidR="00422D13">
        <w:t xml:space="preserve">las 205 evaluaciones que se encuentran registradas en el </w:t>
      </w:r>
      <w:r w:rsidR="00E943E2">
        <w:t>SFU</w:t>
      </w:r>
      <w:r w:rsidR="00422D13">
        <w:t>, únicamente 91 cuentan con elementos que permiten reconocer que efectivamente se tratan de ejercicios de evaluación que son relevantes para el Sistema de Ev</w:t>
      </w:r>
      <w:r>
        <w:t>aluación del Desempeño Naci</w:t>
      </w:r>
      <w:r w:rsidR="002F70A5">
        <w:t>onal</w:t>
      </w:r>
      <w:r w:rsidR="00A16A51">
        <w:t xml:space="preserve"> (SED)</w:t>
      </w:r>
      <w:r w:rsidR="002F70A5">
        <w:t xml:space="preserve">; es decir, que se trata </w:t>
      </w:r>
      <w:r w:rsidR="002F70A5" w:rsidRPr="00E07956">
        <w:t>de un análisis sistemático y objetivo de intervenciones, principalmente de programas gubernamentales en los ámbitos federal, estatal y municipal, así como de conjuntos de programas o de políticas públicas.</w:t>
      </w:r>
    </w:p>
    <w:p w14:paraId="7CF7F588" w14:textId="62171D04" w:rsidR="00596263" w:rsidRDefault="002F70A5" w:rsidP="00DA1124">
      <w:pPr>
        <w:ind w:firstLine="709"/>
      </w:pPr>
      <w:r w:rsidRPr="00DB57D5">
        <w:rPr>
          <w:b/>
        </w:rPr>
        <w:t xml:space="preserve">El propósito de las evaluaciones a los programas es determinar su pertinencia y el logro de sus objetivos, así como la eficiencia, efectividad, impacto y sostenibilidad de </w:t>
      </w:r>
      <w:r w:rsidR="00B86A00">
        <w:rPr>
          <w:b/>
        </w:rPr>
        <w:t>é</w:t>
      </w:r>
      <w:r w:rsidRPr="00DB57D5">
        <w:rPr>
          <w:b/>
        </w:rPr>
        <w:t xml:space="preserve">stos, aportando información confiable y útil </w:t>
      </w:r>
      <w:r w:rsidRPr="00D83ABC">
        <w:t>sobre los resultados obtenidos</w:t>
      </w:r>
      <w:r w:rsidRPr="00E07956">
        <w:t xml:space="preserve">, que permita mejorar el proceso de toma de decisiones. </w:t>
      </w:r>
    </w:p>
    <w:p w14:paraId="4F936EE5" w14:textId="77777777" w:rsidR="00D12079" w:rsidRDefault="00D12079" w:rsidP="00662E77">
      <w:pPr>
        <w:spacing w:after="0" w:line="240" w:lineRule="auto"/>
        <w:jc w:val="center"/>
        <w:rPr>
          <w:b/>
          <w:sz w:val="20"/>
          <w:szCs w:val="20"/>
        </w:rPr>
      </w:pPr>
      <w:r w:rsidRPr="001C2F3C">
        <w:rPr>
          <w:b/>
          <w:sz w:val="20"/>
          <w:szCs w:val="20"/>
        </w:rPr>
        <w:t>Gráfico</w:t>
      </w:r>
      <w:r w:rsidR="00662E77" w:rsidRPr="001C2F3C">
        <w:rPr>
          <w:b/>
          <w:sz w:val="20"/>
          <w:szCs w:val="20"/>
        </w:rPr>
        <w:t xml:space="preserve"> 8: Número de Evaluaciones recibidas y validadas para informes trimestrales de 2015 </w:t>
      </w:r>
    </w:p>
    <w:p w14:paraId="66123735" w14:textId="77777777" w:rsidR="00DA1124" w:rsidRDefault="00DA1124" w:rsidP="00365E59">
      <w:pPr>
        <w:spacing w:after="0" w:line="240" w:lineRule="auto"/>
        <w:jc w:val="center"/>
        <w:rPr>
          <w:sz w:val="20"/>
          <w:lang w:eastAsia="zh-TW"/>
        </w:rPr>
      </w:pPr>
      <w:r>
        <w:rPr>
          <w:noProof/>
        </w:rPr>
        <mc:AlternateContent>
          <mc:Choice Requires="wpg">
            <w:drawing>
              <wp:anchor distT="0" distB="0" distL="114300" distR="114300" simplePos="0" relativeHeight="251662336" behindDoc="0" locked="0" layoutInCell="1" allowOverlap="1" wp14:anchorId="20322A77" wp14:editId="3F93DC9D">
                <wp:simplePos x="0" y="0"/>
                <wp:positionH relativeFrom="column">
                  <wp:posOffset>672465</wp:posOffset>
                </wp:positionH>
                <wp:positionV relativeFrom="paragraph">
                  <wp:posOffset>2348865</wp:posOffset>
                </wp:positionV>
                <wp:extent cx="4314825" cy="295275"/>
                <wp:effectExtent l="0" t="0" r="9525" b="9525"/>
                <wp:wrapNone/>
                <wp:docPr id="21" name="Grupo 21"/>
                <wp:cNvGraphicFramePr/>
                <a:graphic xmlns:a="http://schemas.openxmlformats.org/drawingml/2006/main">
                  <a:graphicData uri="http://schemas.microsoft.com/office/word/2010/wordprocessingGroup">
                    <wpg:wgp>
                      <wpg:cNvGrpSpPr/>
                      <wpg:grpSpPr>
                        <a:xfrm>
                          <a:off x="0" y="0"/>
                          <a:ext cx="4314825" cy="295275"/>
                          <a:chOff x="0" y="0"/>
                          <a:chExt cx="4314825" cy="276225"/>
                        </a:xfrm>
                      </wpg:grpSpPr>
                      <wpg:grpSp>
                        <wpg:cNvPr id="20" name="Grupo 20"/>
                        <wpg:cNvGrpSpPr/>
                        <wpg:grpSpPr>
                          <a:xfrm>
                            <a:off x="0" y="19050"/>
                            <a:ext cx="2095500" cy="247650"/>
                            <a:chOff x="-9525" y="0"/>
                            <a:chExt cx="2095500" cy="238125"/>
                          </a:xfrm>
                        </wpg:grpSpPr>
                        <wps:wsp>
                          <wps:cNvPr id="4" name="Cuadro de texto 4"/>
                          <wps:cNvSpPr txBox="1"/>
                          <wps:spPr>
                            <a:xfrm>
                              <a:off x="-9525" y="0"/>
                              <a:ext cx="20955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3FEA8" w14:textId="77777777" w:rsidR="001E7EF1" w:rsidRPr="00DA1124" w:rsidRDefault="001E7EF1" w:rsidP="00DA1124">
                                <w:pPr>
                                  <w:jc w:val="right"/>
                                  <w:rPr>
                                    <w:sz w:val="18"/>
                                    <w:szCs w:val="18"/>
                                  </w:rPr>
                                </w:pPr>
                                <w:r w:rsidRPr="00DA1124">
                                  <w:rPr>
                                    <w:sz w:val="18"/>
                                    <w:szCs w:val="18"/>
                                  </w:rPr>
                                  <w:t>Evaluaciones válidas para el 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ángulo 10"/>
                          <wps:cNvSpPr/>
                          <wps:spPr>
                            <a:xfrm>
                              <a:off x="180975" y="85725"/>
                              <a:ext cx="45719" cy="57150"/>
                            </a:xfrm>
                            <a:prstGeom prst="rect">
                              <a:avLst/>
                            </a:prstGeom>
                            <a:solidFill>
                              <a:srgbClr val="007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upo 19"/>
                        <wpg:cNvGrpSpPr/>
                        <wpg:grpSpPr>
                          <a:xfrm>
                            <a:off x="2228850" y="0"/>
                            <a:ext cx="2085975" cy="276225"/>
                            <a:chOff x="0" y="0"/>
                            <a:chExt cx="2095500" cy="238125"/>
                          </a:xfrm>
                        </wpg:grpSpPr>
                        <wps:wsp>
                          <wps:cNvPr id="17" name="Cuadro de texto 17"/>
                          <wps:cNvSpPr txBox="1"/>
                          <wps:spPr>
                            <a:xfrm>
                              <a:off x="0" y="0"/>
                              <a:ext cx="20955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71B03" w14:textId="77777777" w:rsidR="001E7EF1" w:rsidRPr="00DA1124" w:rsidRDefault="001E7EF1" w:rsidP="00DA1124">
                                <w:pPr>
                                  <w:jc w:val="right"/>
                                  <w:rPr>
                                    <w:sz w:val="18"/>
                                    <w:szCs w:val="18"/>
                                  </w:rPr>
                                </w:pPr>
                                <w:r w:rsidRPr="00DA1124">
                                  <w:rPr>
                                    <w:sz w:val="18"/>
                                    <w:szCs w:val="18"/>
                                  </w:rPr>
                                  <w:t>Evaluaciones válidas para el 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ángulo 18"/>
                          <wps:cNvSpPr/>
                          <wps:spPr>
                            <a:xfrm>
                              <a:off x="180975" y="85725"/>
                              <a:ext cx="45719" cy="57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0322A77" id="Grupo 21" o:spid="_x0000_s1026" style="position:absolute;left:0;text-align:left;margin-left:52.95pt;margin-top:184.95pt;width:339.75pt;height:23.25pt;z-index:251662336;mso-height-relative:margin" coordsize="4314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">
                <v:group id="Grupo 20" o:spid="_x0000_s1027" style="position:absolute;top:190;width:20955;height:2477" coordorigin="-95" coordsize="20955,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Cuadro de texto 4" o:spid="_x0000_s1028" type="#_x0000_t202" style="position:absolute;left:-95;width:2095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14:paraId="4E43FEA8" w14:textId="77777777" w:rsidR="001E7EF1" w:rsidRPr="00DA1124" w:rsidRDefault="001E7EF1" w:rsidP="00DA1124">
                          <w:pPr>
                            <w:jc w:val="right"/>
                            <w:rPr>
                              <w:sz w:val="18"/>
                              <w:szCs w:val="18"/>
                            </w:rPr>
                          </w:pPr>
                          <w:r w:rsidRPr="00DA1124">
                            <w:rPr>
                              <w:sz w:val="18"/>
                              <w:szCs w:val="18"/>
                            </w:rPr>
                            <w:t>Evaluaciones válidas para el SED</w:t>
                          </w:r>
                        </w:p>
                      </w:txbxContent>
                    </v:textbox>
                  </v:shape>
                  <v:rect id="Rectángulo 10" o:spid="_x0000_s1029" style="position:absolute;left:1809;top:857;width:457;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rF8MA&#10;AADbAAAADwAAAGRycy9kb3ducmV2LnhtbESPQYvCQAyF78L+hyHCXkSn7kFK11FEWNQFD1XZc+jE&#10;ttjJlM6oXX+9OQjeEt7Le1/my9416kZdqD0bmE4SUMSFtzWXBk7Hn3EKKkRki41nMvBPAZaLj8Ec&#10;M+vvnNPtEEslIRwyNFDF2GZah6Iih2HiW2LRzr5zGGXtSm07vEu4a/RXksy0w5qlocKW1hUVl8PV&#10;GWhHo3TjdzbfPs75+vH7Z5HSvTGfw371DSpSH9/m1/XWCr7Qyy8ygF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rrF8MAAADbAAAADwAAAAAAAAAAAAAAAACYAgAAZHJzL2Rv&#10;d25yZXYueG1sUEsFBgAAAAAEAAQA9QAAAIgDAAAAAA==&#10;" fillcolor="#007a33" stroked="f" strokeweight="2pt"/>
                </v:group>
                <v:group id="Grupo 19" o:spid="_x0000_s1030" style="position:absolute;left:22288;width:20860;height:2762" coordsize="20955,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Cuadro de texto 17" o:spid="_x0000_s1031" type="#_x0000_t202" style="position:absolute;width:2095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14:paraId="44971B03" w14:textId="77777777" w:rsidR="001E7EF1" w:rsidRPr="00DA1124" w:rsidRDefault="001E7EF1" w:rsidP="00DA1124">
                          <w:pPr>
                            <w:jc w:val="right"/>
                            <w:rPr>
                              <w:sz w:val="18"/>
                              <w:szCs w:val="18"/>
                            </w:rPr>
                          </w:pPr>
                          <w:r w:rsidRPr="00DA1124">
                            <w:rPr>
                              <w:sz w:val="18"/>
                              <w:szCs w:val="18"/>
                            </w:rPr>
                            <w:t>Evaluaciones válidas para el SED</w:t>
                          </w:r>
                        </w:p>
                      </w:txbxContent>
                    </v:textbox>
                  </v:shape>
                  <v:rect id="Rectángulo 18" o:spid="_x0000_s1032" style="position:absolute;left:1809;top:857;width:457;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BsMA&#10;AADbAAAADwAAAGRycy9kb3ducmV2LnhtbESPT2sCMRDF74V+hzCF3mrW/lNWo0hB6KGIWvE8bMbN&#10;4mYSNtFdv33nIPQ2w3vz3m/my8G36kpdagIbGI8KUMRVsA3XBg6/65cpqJSRLbaBycCNEiwXjw9z&#10;LG3oeUfXfa6VhHAq0YDLOZZap8qRxzQKkVi0U+g8Zlm7WtsOewn3rX4tik/tsWFpcBjpy1F13l+8&#10;AX+Mt212yfbnt/e43RQ/q4/J1Jjnp2E1A5VpyP/m+/W3FXyBlV9k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DkBsMAAADbAAAADwAAAAAAAAAAAAAAAACYAgAAZHJzL2Rv&#10;d25yZXYueG1sUEsFBgAAAAAEAAQA9QAAAIgDAAAAAA==&#10;" fillcolor="#7f7f7f [1612]" stroked="f" strokeweight="2pt"/>
                </v:group>
              </v:group>
            </w:pict>
          </mc:Fallback>
        </mc:AlternateContent>
      </w:r>
      <w:r>
        <w:rPr>
          <w:noProof/>
        </w:rPr>
        <w:drawing>
          <wp:inline distT="0" distB="0" distL="0" distR="0" wp14:anchorId="26835485" wp14:editId="174E31DC">
            <wp:extent cx="4657725" cy="28860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DCDB4C" w14:textId="77777777" w:rsidR="003E78B1" w:rsidRPr="00E80EDF" w:rsidRDefault="003E78B1" w:rsidP="00E80EDF">
      <w:pPr>
        <w:spacing w:after="0" w:line="240" w:lineRule="auto"/>
        <w:ind w:firstLine="851"/>
        <w:rPr>
          <w:sz w:val="18"/>
        </w:rPr>
      </w:pPr>
      <w:r w:rsidRPr="00E80EDF">
        <w:rPr>
          <w:sz w:val="18"/>
        </w:rPr>
        <w:t>Fuente: Información del Módulo de Evaluaciones del Sistema de Formato Único.</w:t>
      </w:r>
    </w:p>
    <w:p w14:paraId="2AD5D3CB" w14:textId="77777777" w:rsidR="001C2F3C" w:rsidRDefault="001C2F3C" w:rsidP="003E78B1">
      <w:pPr>
        <w:spacing w:after="0"/>
        <w:jc w:val="center"/>
        <w:rPr>
          <w:lang w:eastAsia="zh-TW"/>
        </w:rPr>
      </w:pPr>
    </w:p>
    <w:p w14:paraId="682ADCC6" w14:textId="0A154375" w:rsidR="001C2F3C" w:rsidRPr="006D0DBD" w:rsidRDefault="00E943E2" w:rsidP="00E81B85">
      <w:pPr>
        <w:ind w:firstLine="709"/>
      </w:pPr>
      <w:r>
        <w:t>Asimismo</w:t>
      </w:r>
      <w:r w:rsidR="00BD5BAF">
        <w:t>,</w:t>
      </w:r>
      <w:r w:rsidR="00D12079">
        <w:t xml:space="preserve"> este componente también presenta gran heterogeneidad entre estados, dado que a pesar de la existencia de</w:t>
      </w:r>
      <w:r w:rsidR="00422D13">
        <w:t xml:space="preserve"> pocos registros por entidad federativa en este módulo del SFU</w:t>
      </w:r>
      <w:r w:rsidR="00D12079">
        <w:t>, la mayor parte de las ent</w:t>
      </w:r>
      <w:r w:rsidR="00DB57D5">
        <w:t xml:space="preserve">idades no reportan </w:t>
      </w:r>
      <w:r w:rsidR="001C2F3C">
        <w:t>información</w:t>
      </w:r>
      <w:r>
        <w:t>.</w:t>
      </w:r>
    </w:p>
    <w:p w14:paraId="4F648373" w14:textId="77777777" w:rsidR="00E943E2" w:rsidRDefault="00422D13" w:rsidP="00DA1124">
      <w:pPr>
        <w:spacing w:after="0" w:line="240" w:lineRule="auto"/>
        <w:jc w:val="center"/>
        <w:rPr>
          <w:rFonts w:eastAsia="Times New Roman" w:cs="Times New Roman"/>
          <w:b/>
          <w:bCs/>
          <w:color w:val="000000"/>
          <w:sz w:val="20"/>
          <w:szCs w:val="20"/>
        </w:rPr>
      </w:pPr>
      <w:r w:rsidRPr="00DA1124">
        <w:rPr>
          <w:rFonts w:eastAsia="Times New Roman" w:cs="Times New Roman"/>
          <w:b/>
          <w:bCs/>
          <w:color w:val="000000"/>
          <w:sz w:val="20"/>
          <w:szCs w:val="20"/>
        </w:rPr>
        <w:lastRenderedPageBreak/>
        <w:t xml:space="preserve">Tabla </w:t>
      </w:r>
      <w:r w:rsidR="00640183" w:rsidRPr="00DA1124">
        <w:rPr>
          <w:rFonts w:eastAsia="Times New Roman" w:cs="Times New Roman"/>
          <w:b/>
          <w:bCs/>
          <w:color w:val="000000"/>
          <w:sz w:val="20"/>
          <w:szCs w:val="20"/>
        </w:rPr>
        <w:t>1</w:t>
      </w:r>
      <w:r w:rsidR="003E7925">
        <w:rPr>
          <w:rFonts w:eastAsia="Times New Roman" w:cs="Times New Roman"/>
          <w:b/>
          <w:bCs/>
          <w:color w:val="000000"/>
          <w:sz w:val="20"/>
          <w:szCs w:val="20"/>
        </w:rPr>
        <w:t>0</w:t>
      </w:r>
      <w:r w:rsidRPr="00DA1124">
        <w:rPr>
          <w:rFonts w:eastAsia="Times New Roman" w:cs="Times New Roman"/>
          <w:b/>
          <w:bCs/>
          <w:color w:val="000000"/>
          <w:sz w:val="20"/>
          <w:szCs w:val="20"/>
        </w:rPr>
        <w:t xml:space="preserve">. Número de evaluaciones reportadas </w:t>
      </w:r>
    </w:p>
    <w:p w14:paraId="5E13C5B7" w14:textId="77777777" w:rsidR="00422D13" w:rsidRPr="00DA1124" w:rsidRDefault="00422D13" w:rsidP="00DA1124">
      <w:pPr>
        <w:spacing w:after="0" w:line="240" w:lineRule="auto"/>
        <w:jc w:val="center"/>
        <w:rPr>
          <w:rFonts w:eastAsia="Times New Roman" w:cs="Times New Roman"/>
          <w:b/>
          <w:bCs/>
          <w:color w:val="000000"/>
          <w:sz w:val="20"/>
          <w:szCs w:val="20"/>
        </w:rPr>
      </w:pPr>
      <w:r w:rsidRPr="00DA1124">
        <w:rPr>
          <w:rFonts w:eastAsia="Times New Roman" w:cs="Times New Roman"/>
          <w:b/>
          <w:bCs/>
          <w:color w:val="000000"/>
          <w:sz w:val="20"/>
          <w:szCs w:val="20"/>
        </w:rPr>
        <w:t>por entidad federativa</w:t>
      </w:r>
      <w:r w:rsidR="00C30701" w:rsidRPr="00DA1124">
        <w:rPr>
          <w:rFonts w:eastAsia="Times New Roman" w:cs="Times New Roman"/>
          <w:b/>
          <w:bCs/>
          <w:color w:val="000000"/>
          <w:sz w:val="20"/>
          <w:szCs w:val="20"/>
        </w:rPr>
        <w:t xml:space="preserve"> </w:t>
      </w:r>
      <w:r w:rsidR="00510A7F" w:rsidRPr="00DA1124">
        <w:rPr>
          <w:rFonts w:eastAsia="Times New Roman" w:cs="Times New Roman"/>
          <w:b/>
          <w:bCs/>
          <w:color w:val="000000"/>
          <w:sz w:val="20"/>
          <w:szCs w:val="20"/>
        </w:rPr>
        <w:t>en 2015</w:t>
      </w:r>
    </w:p>
    <w:p w14:paraId="3794EFBF" w14:textId="77777777" w:rsidR="008C3FDB" w:rsidRPr="00DA1124" w:rsidRDefault="008C3FDB" w:rsidP="00DA1124">
      <w:pPr>
        <w:spacing w:after="0" w:line="240" w:lineRule="auto"/>
        <w:jc w:val="center"/>
      </w:pPr>
    </w:p>
    <w:tbl>
      <w:tblPr>
        <w:tblW w:w="5840" w:type="dxa"/>
        <w:jc w:val="center"/>
        <w:tblCellMar>
          <w:left w:w="70" w:type="dxa"/>
          <w:right w:w="70" w:type="dxa"/>
        </w:tblCellMar>
        <w:tblLook w:val="04A0" w:firstRow="1" w:lastRow="0" w:firstColumn="1" w:lastColumn="0" w:noHBand="0" w:noVBand="1"/>
      </w:tblPr>
      <w:tblGrid>
        <w:gridCol w:w="2360"/>
        <w:gridCol w:w="3480"/>
      </w:tblGrid>
      <w:tr w:rsidR="00422D13" w:rsidRPr="008E044D" w14:paraId="3811A24E" w14:textId="77777777" w:rsidTr="005E18CF">
        <w:trPr>
          <w:trHeight w:val="555"/>
          <w:tblHeader/>
          <w:jc w:val="center"/>
        </w:trPr>
        <w:tc>
          <w:tcPr>
            <w:tcW w:w="2360" w:type="dxa"/>
            <w:tcBorders>
              <w:top w:val="nil"/>
              <w:left w:val="single" w:sz="8" w:space="0" w:color="auto"/>
              <w:bottom w:val="nil"/>
              <w:right w:val="single" w:sz="8" w:space="0" w:color="auto"/>
            </w:tcBorders>
            <w:shd w:val="clear" w:color="000000" w:fill="00853F"/>
            <w:vAlign w:val="center"/>
            <w:hideMark/>
          </w:tcPr>
          <w:p w14:paraId="67BE4C4C" w14:textId="77777777" w:rsidR="00422D13" w:rsidRPr="00DA1124" w:rsidRDefault="00422D13" w:rsidP="005E18CF">
            <w:pPr>
              <w:spacing w:after="0" w:line="240" w:lineRule="auto"/>
              <w:jc w:val="center"/>
              <w:rPr>
                <w:rFonts w:eastAsia="Times New Roman" w:cs="Times New Roman"/>
                <w:b/>
                <w:bCs/>
                <w:color w:val="FFFFFF"/>
                <w:sz w:val="20"/>
                <w:szCs w:val="20"/>
              </w:rPr>
            </w:pPr>
            <w:r w:rsidRPr="00DA1124">
              <w:rPr>
                <w:rFonts w:eastAsia="Times New Roman" w:cs="Times New Roman"/>
                <w:b/>
                <w:bCs/>
                <w:color w:val="FFFFFF"/>
                <w:sz w:val="20"/>
                <w:szCs w:val="20"/>
              </w:rPr>
              <w:t>Entidad Federativa</w:t>
            </w:r>
          </w:p>
        </w:tc>
        <w:tc>
          <w:tcPr>
            <w:tcW w:w="3480" w:type="dxa"/>
            <w:tcBorders>
              <w:top w:val="nil"/>
              <w:left w:val="nil"/>
              <w:bottom w:val="nil"/>
              <w:right w:val="single" w:sz="8" w:space="0" w:color="auto"/>
            </w:tcBorders>
            <w:shd w:val="clear" w:color="000000" w:fill="00853F"/>
            <w:vAlign w:val="center"/>
            <w:hideMark/>
          </w:tcPr>
          <w:p w14:paraId="0A81FE9E" w14:textId="77777777" w:rsidR="00422D13" w:rsidRPr="008E044D" w:rsidRDefault="00422D13" w:rsidP="005E18CF">
            <w:pPr>
              <w:spacing w:after="0" w:line="240" w:lineRule="auto"/>
              <w:jc w:val="center"/>
              <w:rPr>
                <w:rFonts w:eastAsia="Times New Roman" w:cs="Times New Roman"/>
                <w:b/>
                <w:bCs/>
                <w:color w:val="FFFFFF"/>
                <w:sz w:val="20"/>
                <w:szCs w:val="20"/>
              </w:rPr>
            </w:pPr>
            <w:r w:rsidRPr="00DA1124">
              <w:rPr>
                <w:rFonts w:eastAsia="Times New Roman" w:cs="Times New Roman"/>
                <w:b/>
                <w:bCs/>
                <w:color w:val="FFFFFF"/>
                <w:sz w:val="20"/>
                <w:szCs w:val="20"/>
              </w:rPr>
              <w:t>Número de Evaluaciones Presentadas</w:t>
            </w:r>
          </w:p>
        </w:tc>
      </w:tr>
      <w:tr w:rsidR="00422D13" w:rsidRPr="008E044D" w14:paraId="7A55619A"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178C58F0"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Aguascalientes</w:t>
            </w:r>
          </w:p>
        </w:tc>
        <w:tc>
          <w:tcPr>
            <w:tcW w:w="3480" w:type="dxa"/>
            <w:tcBorders>
              <w:top w:val="nil"/>
              <w:left w:val="nil"/>
              <w:bottom w:val="single" w:sz="8" w:space="0" w:color="auto"/>
              <w:right w:val="single" w:sz="8" w:space="0" w:color="auto"/>
            </w:tcBorders>
            <w:shd w:val="clear" w:color="000000" w:fill="D9D9D9"/>
            <w:noWrap/>
            <w:vAlign w:val="center"/>
            <w:hideMark/>
          </w:tcPr>
          <w:p w14:paraId="7E3CB76A"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27</w:t>
            </w:r>
          </w:p>
        </w:tc>
      </w:tr>
      <w:tr w:rsidR="00422D13" w:rsidRPr="008E044D" w14:paraId="49D9D476"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388E5A24"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México</w:t>
            </w:r>
          </w:p>
        </w:tc>
        <w:tc>
          <w:tcPr>
            <w:tcW w:w="3480" w:type="dxa"/>
            <w:tcBorders>
              <w:top w:val="nil"/>
              <w:left w:val="nil"/>
              <w:bottom w:val="single" w:sz="8" w:space="0" w:color="auto"/>
              <w:right w:val="single" w:sz="8" w:space="0" w:color="auto"/>
            </w:tcBorders>
            <w:shd w:val="clear" w:color="000000" w:fill="D9D9D9"/>
            <w:noWrap/>
            <w:vAlign w:val="center"/>
            <w:hideMark/>
          </w:tcPr>
          <w:p w14:paraId="4824E108"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12</w:t>
            </w:r>
          </w:p>
        </w:tc>
      </w:tr>
      <w:tr w:rsidR="00422D13" w:rsidRPr="008E044D" w14:paraId="01193155"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14:paraId="44B88391"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Tlaxcala</w:t>
            </w:r>
          </w:p>
        </w:tc>
        <w:tc>
          <w:tcPr>
            <w:tcW w:w="3480" w:type="dxa"/>
            <w:tcBorders>
              <w:top w:val="nil"/>
              <w:left w:val="nil"/>
              <w:bottom w:val="single" w:sz="8" w:space="0" w:color="auto"/>
              <w:right w:val="single" w:sz="8" w:space="0" w:color="auto"/>
            </w:tcBorders>
            <w:shd w:val="clear" w:color="000000" w:fill="D9D9D9"/>
            <w:noWrap/>
            <w:vAlign w:val="center"/>
            <w:hideMark/>
          </w:tcPr>
          <w:p w14:paraId="759C1D33"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8</w:t>
            </w:r>
          </w:p>
        </w:tc>
      </w:tr>
      <w:tr w:rsidR="00422D13" w:rsidRPr="008E044D" w14:paraId="091BB758"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14:paraId="3E862A79"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Quintana Roo</w:t>
            </w:r>
          </w:p>
        </w:tc>
        <w:tc>
          <w:tcPr>
            <w:tcW w:w="3480" w:type="dxa"/>
            <w:tcBorders>
              <w:top w:val="nil"/>
              <w:left w:val="nil"/>
              <w:bottom w:val="single" w:sz="8" w:space="0" w:color="auto"/>
              <w:right w:val="single" w:sz="8" w:space="0" w:color="auto"/>
            </w:tcBorders>
            <w:shd w:val="clear" w:color="000000" w:fill="D9D9D9"/>
            <w:noWrap/>
            <w:vAlign w:val="center"/>
            <w:hideMark/>
          </w:tcPr>
          <w:p w14:paraId="3C183E53"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7</w:t>
            </w:r>
          </w:p>
        </w:tc>
      </w:tr>
      <w:tr w:rsidR="00422D13" w:rsidRPr="008E044D" w14:paraId="577DA8DA"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7555F7F"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Chiapas</w:t>
            </w:r>
          </w:p>
        </w:tc>
        <w:tc>
          <w:tcPr>
            <w:tcW w:w="3480" w:type="dxa"/>
            <w:tcBorders>
              <w:top w:val="nil"/>
              <w:left w:val="nil"/>
              <w:bottom w:val="single" w:sz="8" w:space="0" w:color="auto"/>
              <w:right w:val="single" w:sz="8" w:space="0" w:color="auto"/>
            </w:tcBorders>
            <w:shd w:val="clear" w:color="000000" w:fill="D9D9D9"/>
            <w:noWrap/>
            <w:vAlign w:val="center"/>
            <w:hideMark/>
          </w:tcPr>
          <w:p w14:paraId="713D4B46"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6</w:t>
            </w:r>
          </w:p>
        </w:tc>
      </w:tr>
      <w:tr w:rsidR="00422D13" w:rsidRPr="008E044D" w14:paraId="601A2F1F"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0AC386BE"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Durango</w:t>
            </w:r>
          </w:p>
        </w:tc>
        <w:tc>
          <w:tcPr>
            <w:tcW w:w="3480" w:type="dxa"/>
            <w:tcBorders>
              <w:top w:val="nil"/>
              <w:left w:val="nil"/>
              <w:bottom w:val="single" w:sz="8" w:space="0" w:color="auto"/>
              <w:right w:val="single" w:sz="8" w:space="0" w:color="auto"/>
            </w:tcBorders>
            <w:shd w:val="clear" w:color="000000" w:fill="D9D9D9"/>
            <w:noWrap/>
            <w:vAlign w:val="center"/>
            <w:hideMark/>
          </w:tcPr>
          <w:p w14:paraId="0A14EECF"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6</w:t>
            </w:r>
          </w:p>
        </w:tc>
      </w:tr>
      <w:tr w:rsidR="00422D13" w:rsidRPr="008E044D" w14:paraId="53882E32"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14:paraId="678EB3BE"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Oaxaca</w:t>
            </w:r>
          </w:p>
        </w:tc>
        <w:tc>
          <w:tcPr>
            <w:tcW w:w="3480" w:type="dxa"/>
            <w:tcBorders>
              <w:top w:val="nil"/>
              <w:left w:val="nil"/>
              <w:bottom w:val="single" w:sz="8" w:space="0" w:color="auto"/>
              <w:right w:val="single" w:sz="8" w:space="0" w:color="auto"/>
            </w:tcBorders>
            <w:shd w:val="clear" w:color="000000" w:fill="D9D9D9"/>
            <w:noWrap/>
            <w:vAlign w:val="center"/>
            <w:hideMark/>
          </w:tcPr>
          <w:p w14:paraId="6892670C"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6</w:t>
            </w:r>
          </w:p>
        </w:tc>
      </w:tr>
      <w:tr w:rsidR="00422D13" w:rsidRPr="008E044D" w14:paraId="52ABA811"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2A611127"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Tamaulipas</w:t>
            </w:r>
          </w:p>
        </w:tc>
        <w:tc>
          <w:tcPr>
            <w:tcW w:w="3480" w:type="dxa"/>
            <w:tcBorders>
              <w:top w:val="nil"/>
              <w:left w:val="nil"/>
              <w:bottom w:val="single" w:sz="8" w:space="0" w:color="auto"/>
              <w:right w:val="single" w:sz="8" w:space="0" w:color="auto"/>
            </w:tcBorders>
            <w:shd w:val="clear" w:color="000000" w:fill="D9D9D9"/>
            <w:noWrap/>
            <w:vAlign w:val="center"/>
            <w:hideMark/>
          </w:tcPr>
          <w:p w14:paraId="68DBC89A"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5</w:t>
            </w:r>
          </w:p>
        </w:tc>
      </w:tr>
      <w:tr w:rsidR="00422D13" w:rsidRPr="008E044D" w14:paraId="05F3A201"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1E5B7223"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Baja California</w:t>
            </w:r>
          </w:p>
        </w:tc>
        <w:tc>
          <w:tcPr>
            <w:tcW w:w="3480" w:type="dxa"/>
            <w:tcBorders>
              <w:top w:val="nil"/>
              <w:left w:val="nil"/>
              <w:bottom w:val="single" w:sz="8" w:space="0" w:color="auto"/>
              <w:right w:val="single" w:sz="8" w:space="0" w:color="auto"/>
            </w:tcBorders>
            <w:shd w:val="clear" w:color="000000" w:fill="D9D9D9"/>
            <w:noWrap/>
            <w:vAlign w:val="center"/>
            <w:hideMark/>
          </w:tcPr>
          <w:p w14:paraId="35367A03"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4</w:t>
            </w:r>
          </w:p>
        </w:tc>
      </w:tr>
      <w:tr w:rsidR="00422D13" w:rsidRPr="008E044D" w14:paraId="757C1EB5"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6E9ABCD4"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Michoacán</w:t>
            </w:r>
          </w:p>
        </w:tc>
        <w:tc>
          <w:tcPr>
            <w:tcW w:w="3480" w:type="dxa"/>
            <w:tcBorders>
              <w:top w:val="nil"/>
              <w:left w:val="nil"/>
              <w:bottom w:val="single" w:sz="8" w:space="0" w:color="auto"/>
              <w:right w:val="single" w:sz="8" w:space="0" w:color="auto"/>
            </w:tcBorders>
            <w:shd w:val="clear" w:color="000000" w:fill="D9D9D9"/>
            <w:noWrap/>
            <w:vAlign w:val="center"/>
            <w:hideMark/>
          </w:tcPr>
          <w:p w14:paraId="414B0142"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3</w:t>
            </w:r>
          </w:p>
        </w:tc>
      </w:tr>
      <w:tr w:rsidR="00422D13" w:rsidRPr="008E044D" w14:paraId="285613F8"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35B30EE0"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Veracruz</w:t>
            </w:r>
          </w:p>
        </w:tc>
        <w:tc>
          <w:tcPr>
            <w:tcW w:w="3480" w:type="dxa"/>
            <w:tcBorders>
              <w:top w:val="nil"/>
              <w:left w:val="nil"/>
              <w:bottom w:val="single" w:sz="8" w:space="0" w:color="auto"/>
              <w:right w:val="single" w:sz="8" w:space="0" w:color="auto"/>
            </w:tcBorders>
            <w:shd w:val="clear" w:color="000000" w:fill="D9D9D9"/>
            <w:noWrap/>
            <w:vAlign w:val="center"/>
            <w:hideMark/>
          </w:tcPr>
          <w:p w14:paraId="314E6A70"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2</w:t>
            </w:r>
          </w:p>
        </w:tc>
      </w:tr>
      <w:tr w:rsidR="00422D13" w:rsidRPr="008E044D" w14:paraId="02C92D6E"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14:paraId="0948DD4D"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Puebla</w:t>
            </w:r>
          </w:p>
        </w:tc>
        <w:tc>
          <w:tcPr>
            <w:tcW w:w="3480" w:type="dxa"/>
            <w:tcBorders>
              <w:top w:val="nil"/>
              <w:left w:val="nil"/>
              <w:bottom w:val="single" w:sz="8" w:space="0" w:color="auto"/>
              <w:right w:val="single" w:sz="8" w:space="0" w:color="auto"/>
            </w:tcBorders>
            <w:shd w:val="clear" w:color="000000" w:fill="D9D9D9"/>
            <w:noWrap/>
            <w:vAlign w:val="center"/>
            <w:hideMark/>
          </w:tcPr>
          <w:p w14:paraId="4B5E7C08"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w:t>
            </w:r>
          </w:p>
        </w:tc>
      </w:tr>
      <w:tr w:rsidR="00422D13" w:rsidRPr="008E044D" w14:paraId="67237E4C"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AE0855D"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Tabasco</w:t>
            </w:r>
          </w:p>
        </w:tc>
        <w:tc>
          <w:tcPr>
            <w:tcW w:w="3480" w:type="dxa"/>
            <w:tcBorders>
              <w:top w:val="nil"/>
              <w:left w:val="nil"/>
              <w:bottom w:val="single" w:sz="8" w:space="0" w:color="auto"/>
              <w:right w:val="single" w:sz="8" w:space="0" w:color="auto"/>
            </w:tcBorders>
            <w:shd w:val="clear" w:color="000000" w:fill="D9D9D9"/>
            <w:noWrap/>
            <w:vAlign w:val="center"/>
            <w:hideMark/>
          </w:tcPr>
          <w:p w14:paraId="126927AB"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w:t>
            </w:r>
          </w:p>
        </w:tc>
      </w:tr>
      <w:tr w:rsidR="00422D13" w:rsidRPr="008E044D" w14:paraId="0BAFFBC8"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57B105C5"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Hidalgo</w:t>
            </w:r>
          </w:p>
        </w:tc>
        <w:tc>
          <w:tcPr>
            <w:tcW w:w="3480" w:type="dxa"/>
            <w:tcBorders>
              <w:top w:val="nil"/>
              <w:left w:val="nil"/>
              <w:bottom w:val="single" w:sz="8" w:space="0" w:color="auto"/>
              <w:right w:val="single" w:sz="8" w:space="0" w:color="auto"/>
            </w:tcBorders>
            <w:shd w:val="clear" w:color="000000" w:fill="D9D9D9"/>
            <w:noWrap/>
            <w:vAlign w:val="center"/>
            <w:hideMark/>
          </w:tcPr>
          <w:p w14:paraId="3D374071"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w:t>
            </w:r>
          </w:p>
        </w:tc>
      </w:tr>
      <w:tr w:rsidR="00422D13" w:rsidRPr="008E044D" w14:paraId="5A50B4B8"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95ADB21"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Chihuahua</w:t>
            </w:r>
          </w:p>
        </w:tc>
        <w:tc>
          <w:tcPr>
            <w:tcW w:w="3480" w:type="dxa"/>
            <w:tcBorders>
              <w:top w:val="nil"/>
              <w:left w:val="nil"/>
              <w:bottom w:val="single" w:sz="8" w:space="0" w:color="auto"/>
              <w:right w:val="single" w:sz="8" w:space="0" w:color="auto"/>
            </w:tcBorders>
            <w:shd w:val="clear" w:color="000000" w:fill="D9D9D9"/>
            <w:noWrap/>
            <w:vAlign w:val="center"/>
            <w:hideMark/>
          </w:tcPr>
          <w:p w14:paraId="2D957906"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w:t>
            </w:r>
          </w:p>
        </w:tc>
      </w:tr>
      <w:tr w:rsidR="00422D13" w:rsidRPr="008E044D" w14:paraId="091A6BE4" w14:textId="77777777" w:rsidTr="005E18CF">
        <w:trPr>
          <w:trHeight w:val="315"/>
          <w:jc w:val="center"/>
        </w:trPr>
        <w:tc>
          <w:tcPr>
            <w:tcW w:w="2360" w:type="dxa"/>
            <w:tcBorders>
              <w:top w:val="nil"/>
              <w:left w:val="single" w:sz="8" w:space="0" w:color="auto"/>
              <w:bottom w:val="single" w:sz="8" w:space="0" w:color="auto"/>
              <w:right w:val="single" w:sz="8" w:space="0" w:color="auto"/>
            </w:tcBorders>
            <w:shd w:val="clear" w:color="auto" w:fill="auto"/>
            <w:vAlign w:val="center"/>
            <w:hideMark/>
          </w:tcPr>
          <w:p w14:paraId="6531D301" w14:textId="77777777" w:rsidR="00422D13" w:rsidRPr="008E044D" w:rsidRDefault="00422D13" w:rsidP="005E18CF">
            <w:pPr>
              <w:spacing w:after="0" w:line="240" w:lineRule="auto"/>
              <w:jc w:val="left"/>
              <w:rPr>
                <w:rFonts w:eastAsia="Times New Roman" w:cs="Times New Roman"/>
                <w:color w:val="000000"/>
                <w:sz w:val="20"/>
                <w:szCs w:val="20"/>
              </w:rPr>
            </w:pPr>
            <w:r w:rsidRPr="008E044D">
              <w:rPr>
                <w:rFonts w:eastAsia="Times New Roman" w:cs="Times New Roman"/>
                <w:color w:val="000000"/>
                <w:sz w:val="20"/>
                <w:szCs w:val="20"/>
              </w:rPr>
              <w:t>Zacatecas</w:t>
            </w:r>
          </w:p>
        </w:tc>
        <w:tc>
          <w:tcPr>
            <w:tcW w:w="3480" w:type="dxa"/>
            <w:tcBorders>
              <w:top w:val="nil"/>
              <w:left w:val="nil"/>
              <w:bottom w:val="single" w:sz="8" w:space="0" w:color="auto"/>
              <w:right w:val="single" w:sz="8" w:space="0" w:color="auto"/>
            </w:tcBorders>
            <w:shd w:val="clear" w:color="000000" w:fill="D9D9D9"/>
            <w:noWrap/>
            <w:vAlign w:val="center"/>
            <w:hideMark/>
          </w:tcPr>
          <w:p w14:paraId="4378B73D" w14:textId="77777777" w:rsidR="00422D13" w:rsidRPr="008E044D" w:rsidRDefault="00422D13" w:rsidP="005E18CF">
            <w:pPr>
              <w:spacing w:after="0" w:line="240" w:lineRule="auto"/>
              <w:jc w:val="center"/>
              <w:rPr>
                <w:rFonts w:eastAsia="Times New Roman" w:cs="Times New Roman"/>
                <w:color w:val="000000"/>
                <w:sz w:val="20"/>
                <w:szCs w:val="20"/>
              </w:rPr>
            </w:pPr>
            <w:r w:rsidRPr="008E044D">
              <w:rPr>
                <w:rFonts w:eastAsia="Times New Roman" w:cs="Times New Roman"/>
                <w:color w:val="000000"/>
                <w:sz w:val="20"/>
                <w:szCs w:val="20"/>
              </w:rPr>
              <w:t>1</w:t>
            </w:r>
          </w:p>
        </w:tc>
      </w:tr>
    </w:tbl>
    <w:p w14:paraId="55A9BD4E" w14:textId="77777777" w:rsidR="001C2F3C" w:rsidRDefault="00422D13" w:rsidP="00E80EDF">
      <w:pPr>
        <w:spacing w:after="0" w:line="240" w:lineRule="auto"/>
        <w:ind w:left="1418" w:right="1467"/>
        <w:rPr>
          <w:sz w:val="18"/>
        </w:rPr>
      </w:pPr>
      <w:r w:rsidRPr="00E80EDF">
        <w:rPr>
          <w:sz w:val="18"/>
        </w:rPr>
        <w:t xml:space="preserve">Fuente: Datos recopilados de los informes trimestrales sobre el ejercicio, destino y resultados de los recursos federales transferidos presentados </w:t>
      </w:r>
      <w:r w:rsidR="00510A7F" w:rsidRPr="00E80EDF">
        <w:rPr>
          <w:sz w:val="18"/>
        </w:rPr>
        <w:t>en</w:t>
      </w:r>
      <w:r w:rsidRPr="00E80EDF">
        <w:rPr>
          <w:sz w:val="18"/>
        </w:rPr>
        <w:t xml:space="preserve"> 2015.</w:t>
      </w:r>
    </w:p>
    <w:p w14:paraId="3D64FF66" w14:textId="77777777" w:rsidR="00E80EDF" w:rsidRPr="00E80EDF" w:rsidRDefault="00E80EDF" w:rsidP="00E80EDF">
      <w:pPr>
        <w:spacing w:after="0" w:line="240" w:lineRule="auto"/>
        <w:ind w:left="1418" w:right="1467"/>
        <w:rPr>
          <w:sz w:val="18"/>
        </w:rPr>
      </w:pPr>
    </w:p>
    <w:p w14:paraId="6BD02B01" w14:textId="77777777" w:rsidR="001C2F3C" w:rsidRDefault="001C2F3C" w:rsidP="00E81B85">
      <w:pPr>
        <w:ind w:firstLine="709"/>
      </w:pPr>
      <w:r>
        <w:t>Como puede observarse, e</w:t>
      </w:r>
      <w:r w:rsidR="00E8635E" w:rsidRPr="00CB1C35">
        <w:t xml:space="preserve">l </w:t>
      </w:r>
      <w:r w:rsidR="00F11458">
        <w:t>SFU</w:t>
      </w:r>
      <w:r w:rsidR="00E8635E" w:rsidRPr="00CB1C35">
        <w:t xml:space="preserve"> </w:t>
      </w:r>
      <w:r>
        <w:t xml:space="preserve">solo </w:t>
      </w:r>
      <w:r w:rsidR="00E8635E" w:rsidRPr="00CB1C35">
        <w:t xml:space="preserve">cuenta con </w:t>
      </w:r>
      <w:r w:rsidR="00F11458">
        <w:t xml:space="preserve">información de </w:t>
      </w:r>
      <w:r w:rsidR="00662C5F">
        <w:t>91</w:t>
      </w:r>
      <w:r w:rsidR="00662C5F" w:rsidRPr="00CB1C35">
        <w:t xml:space="preserve"> </w:t>
      </w:r>
      <w:r w:rsidR="00123F5F" w:rsidRPr="00CB1C35">
        <w:t xml:space="preserve">evaluaciones </w:t>
      </w:r>
      <w:r w:rsidR="00A55BA6" w:rsidRPr="00CB1C35">
        <w:t>reportadas que corresponden a</w:t>
      </w:r>
      <w:r w:rsidR="00E8635E" w:rsidRPr="00CB1C35">
        <w:t xml:space="preserve"> </w:t>
      </w:r>
      <w:r w:rsidR="00662C5F">
        <w:t>16</w:t>
      </w:r>
      <w:r w:rsidR="00662C5F" w:rsidRPr="00CB1C35">
        <w:t xml:space="preserve"> </w:t>
      </w:r>
      <w:r w:rsidR="00F76F0E" w:rsidRPr="00CB1C35">
        <w:t>entidades federativas</w:t>
      </w:r>
      <w:r w:rsidR="00E8635E" w:rsidRPr="00CB1C35">
        <w:t xml:space="preserve">, por lo cual </w:t>
      </w:r>
      <w:r w:rsidR="00A55BA6" w:rsidRPr="00CB1C35">
        <w:t xml:space="preserve">cobra mayor relevancia </w:t>
      </w:r>
      <w:r w:rsidR="00F8679E" w:rsidRPr="00CB1C35">
        <w:t xml:space="preserve">llevar a cabo acciones para apoyar a los </w:t>
      </w:r>
      <w:r w:rsidR="00F04E57" w:rsidRPr="00CB1C35">
        <w:t>gobiernos locales</w:t>
      </w:r>
      <w:r w:rsidR="00F8679E" w:rsidRPr="00CB1C35">
        <w:t xml:space="preserve"> en el proceso de seguimiento y evaluación del desempeño</w:t>
      </w:r>
      <w:r w:rsidR="00CB1C35" w:rsidRPr="00CB1C35">
        <w:t>,</w:t>
      </w:r>
      <w:r w:rsidR="00F8679E" w:rsidRPr="00CB1C35">
        <w:t xml:space="preserve"> </w:t>
      </w:r>
      <w:r w:rsidR="00F04E57" w:rsidRPr="00CB1C35">
        <w:t xml:space="preserve">así como </w:t>
      </w:r>
      <w:r w:rsidR="00A55BA6" w:rsidRPr="00CB1C35">
        <w:t xml:space="preserve">en la implementación del sistema de evaluación del desempeño </w:t>
      </w:r>
      <w:r w:rsidR="00F04E57" w:rsidRPr="00CB1C35">
        <w:t>en los gobiernos locales</w:t>
      </w:r>
      <w:r w:rsidR="00F8679E" w:rsidRPr="00CB1C35">
        <w:t>.</w:t>
      </w:r>
      <w:r w:rsidR="00D3361E">
        <w:t xml:space="preserve"> </w:t>
      </w:r>
    </w:p>
    <w:p w14:paraId="2C0EC51E" w14:textId="54F5FCA9" w:rsidR="00EE4F0F" w:rsidRPr="00E07956" w:rsidRDefault="00D3361E" w:rsidP="001C2F3C">
      <w:pPr>
        <w:ind w:firstLine="360"/>
      </w:pPr>
      <w:r>
        <w:t>Cabe mencionar que</w:t>
      </w:r>
      <w:r w:rsidR="00A343FC">
        <w:t>,</w:t>
      </w:r>
      <w:r>
        <w:t xml:space="preserve"> en muchos casos, las evaluaciones registradas en el SFU, no han sido consideradas debido a que </w:t>
      </w:r>
      <w:r w:rsidR="00C019B9">
        <w:t xml:space="preserve">no cuentan con los elementos requeridos en una evaluación, o porque son </w:t>
      </w:r>
      <w:r w:rsidR="00BD5BAF">
        <w:t xml:space="preserve">reportados </w:t>
      </w:r>
      <w:r w:rsidR="00C019B9">
        <w:t>documentos que no representan evaluaciones, como</w:t>
      </w:r>
      <w:r w:rsidR="00BD5BAF">
        <w:t xml:space="preserve"> lo son</w:t>
      </w:r>
      <w:r w:rsidR="00C019B9">
        <w:t xml:space="preserve"> reportes de auditorías o los mismos in</w:t>
      </w:r>
      <w:r w:rsidR="001C2F3C">
        <w:t>formes derivados del SFU</w:t>
      </w:r>
      <w:r w:rsidR="00BD5BAF">
        <w:t>. L</w:t>
      </w:r>
      <w:r w:rsidR="001C2F3C">
        <w:t>o anterior</w:t>
      </w:r>
      <w:r w:rsidR="00C142AC">
        <w:t xml:space="preserve"> puede</w:t>
      </w:r>
      <w:r w:rsidR="00C019B9">
        <w:t xml:space="preserve"> </w:t>
      </w:r>
      <w:r w:rsidR="00C142AC">
        <w:t xml:space="preserve">reflejar que </w:t>
      </w:r>
      <w:r w:rsidR="00BD5BAF">
        <w:t xml:space="preserve">aún </w:t>
      </w:r>
      <w:r w:rsidR="00C142AC">
        <w:t xml:space="preserve">existe </w:t>
      </w:r>
      <w:r w:rsidR="00BD5BAF">
        <w:t xml:space="preserve">un amplio desconocimiento de los objetivos y alcances de </w:t>
      </w:r>
      <w:r w:rsidR="00C142AC">
        <w:t xml:space="preserve">una </w:t>
      </w:r>
      <w:r w:rsidR="00BD5BAF">
        <w:t>evaluación.</w:t>
      </w:r>
      <w:r w:rsidR="00EE4F0F">
        <w:br w:type="page"/>
      </w:r>
    </w:p>
    <w:p w14:paraId="4DACDE33" w14:textId="77777777" w:rsidR="00B747B1" w:rsidRDefault="002778A1" w:rsidP="0099287D">
      <w:pPr>
        <w:pStyle w:val="Ttulo1"/>
      </w:pPr>
      <w:bookmarkStart w:id="15" w:name="_Toc447904086"/>
      <w:r>
        <w:lastRenderedPageBreak/>
        <w:t>Líneas de acción Globales</w:t>
      </w:r>
      <w:bookmarkEnd w:id="15"/>
      <w:r w:rsidR="000B3A9A">
        <w:t xml:space="preserve"> </w:t>
      </w:r>
    </w:p>
    <w:p w14:paraId="7BD51D3F" w14:textId="77777777" w:rsidR="00823215" w:rsidRDefault="00823215" w:rsidP="000605C8">
      <w:r>
        <w:t xml:space="preserve">El objetivo de esta sección es ayudar a conocer los aspectos relevantes sobre el reporte del ejercicio, destino y resultados de las transferencias federales que puedan dar una visión estratégica para la toma de decisiones en todo el ciclo presupuestario. En este sentido, para que los reportes realizados trimestralmente por los gobiernos locales sean de utilidad para el análisis es necesario contar con información de calidad. </w:t>
      </w:r>
    </w:p>
    <w:p w14:paraId="39CFE81B" w14:textId="08EF7ECC" w:rsidR="00823215" w:rsidRPr="00AF2956" w:rsidRDefault="00823215" w:rsidP="00823215">
      <w:pPr>
        <w:ind w:firstLine="708"/>
      </w:pPr>
      <w:r>
        <w:t>Derivado de lo anterior, y de conformidad con la guía de criterios para el reporte del ejercicio, destino y resultados de los recursos federales transferidos</w:t>
      </w:r>
      <w:r>
        <w:rPr>
          <w:rStyle w:val="Refdenotaalpie"/>
        </w:rPr>
        <w:footnoteReference w:id="15"/>
      </w:r>
      <w:r>
        <w:t xml:space="preserve"> </w:t>
      </w:r>
      <w:r w:rsidRPr="001B0FDC">
        <w:rPr>
          <w:b/>
        </w:rPr>
        <w:t>a continuación se establecen acciones específicas</w:t>
      </w:r>
      <w:r>
        <w:t xml:space="preserve"> a manera de recomendaciones puntuales, </w:t>
      </w:r>
      <w:r w:rsidR="00C142AC">
        <w:t>con el fin de promover</w:t>
      </w:r>
      <w:r>
        <w:t xml:space="preserve"> estándares de información que </w:t>
      </w:r>
      <w:r w:rsidR="00C142AC">
        <w:t xml:space="preserve">permitan </w:t>
      </w:r>
      <w:r>
        <w:t>analizar y dar seguimiento al ejercicio de los recursos federales transferidos por componente del sistema, en función de cada una de las dimensiones descritas en dicha guía.</w:t>
      </w:r>
    </w:p>
    <w:p w14:paraId="78083523" w14:textId="31C7FF57" w:rsidR="009B4F45" w:rsidRDefault="00A24EC3" w:rsidP="00EB4769">
      <w:pPr>
        <w:ind w:firstLine="709"/>
      </w:pPr>
      <w:r>
        <w:t xml:space="preserve">Cabe mencionar que </w:t>
      </w:r>
      <w:r w:rsidR="009B4F45">
        <w:t xml:space="preserve">con el fin de proporcionar a las entidades federativas los elementos que requieren para </w:t>
      </w:r>
      <w:r w:rsidR="00422B6C">
        <w:t xml:space="preserve">atenuar los posibles efectos derivados de </w:t>
      </w:r>
      <w:r w:rsidR="009B4F45">
        <w:t xml:space="preserve">la </w:t>
      </w:r>
      <w:r w:rsidR="00913B9C">
        <w:t xml:space="preserve">rotación </w:t>
      </w:r>
      <w:r w:rsidR="009B4F45">
        <w:t xml:space="preserve">de personal, y así llevar a cabo en tiempo y forma la captura de la información requerida en el </w:t>
      </w:r>
      <w:r w:rsidR="00422B6C">
        <w:t>r</w:t>
      </w:r>
      <w:r w:rsidR="009B4F45">
        <w:t xml:space="preserve">eporte del </w:t>
      </w:r>
      <w:r w:rsidR="00422B6C">
        <w:t>e</w:t>
      </w:r>
      <w:r w:rsidR="009B4F45">
        <w:t xml:space="preserve">jercicio, </w:t>
      </w:r>
      <w:r w:rsidR="00422B6C">
        <w:t>d</w:t>
      </w:r>
      <w:r w:rsidR="009B4F45">
        <w:t xml:space="preserve">estino y </w:t>
      </w:r>
      <w:r w:rsidR="00422B6C">
        <w:t>r</w:t>
      </w:r>
      <w:r w:rsidR="009B4F45">
        <w:t xml:space="preserve">esultados de los </w:t>
      </w:r>
      <w:r w:rsidR="00422B6C">
        <w:t>recursos f</w:t>
      </w:r>
      <w:r w:rsidR="009B4F45">
        <w:t xml:space="preserve">ederales </w:t>
      </w:r>
      <w:r w:rsidR="00422B6C">
        <w:t>t</w:t>
      </w:r>
      <w:r w:rsidR="004056B7">
        <w:t>ransferidos, debe fortalecerse</w:t>
      </w:r>
      <w:r w:rsidR="009B4F45">
        <w:t xml:space="preserve"> la</w:t>
      </w:r>
      <w:r w:rsidR="004056B7">
        <w:t xml:space="preserve"> </w:t>
      </w:r>
      <w:r w:rsidR="004056B7" w:rsidRPr="001C2F3C">
        <w:rPr>
          <w:b/>
        </w:rPr>
        <w:t xml:space="preserve">difusión y utilización de las herramientas de </w:t>
      </w:r>
      <w:r w:rsidR="009B4F45" w:rsidRPr="001C2F3C">
        <w:rPr>
          <w:b/>
        </w:rPr>
        <w:t xml:space="preserve">capacitación a distancia, </w:t>
      </w:r>
      <w:r w:rsidR="00C142AC">
        <w:rPr>
          <w:b/>
        </w:rPr>
        <w:t xml:space="preserve">como lo es </w:t>
      </w:r>
      <w:r w:rsidR="009B4F45" w:rsidRPr="001C2F3C">
        <w:rPr>
          <w:b/>
        </w:rPr>
        <w:t>el material en línea referente al SFU que pued</w:t>
      </w:r>
      <w:r w:rsidR="00C142AC">
        <w:rPr>
          <w:b/>
        </w:rPr>
        <w:t>e</w:t>
      </w:r>
      <w:r w:rsidR="009B4F45" w:rsidRPr="001C2F3C">
        <w:rPr>
          <w:b/>
        </w:rPr>
        <w:t xml:space="preserve"> </w:t>
      </w:r>
      <w:r w:rsidR="00C142AC" w:rsidRPr="001C2F3C">
        <w:rPr>
          <w:b/>
        </w:rPr>
        <w:t>consultar</w:t>
      </w:r>
      <w:r w:rsidR="00C142AC">
        <w:rPr>
          <w:b/>
        </w:rPr>
        <w:t xml:space="preserve">se </w:t>
      </w:r>
      <w:r w:rsidR="009B4F45" w:rsidRPr="001C2F3C">
        <w:rPr>
          <w:b/>
        </w:rPr>
        <w:t>en el Portal de Transparencia Presupuestaria</w:t>
      </w:r>
      <w:r w:rsidR="00C142AC" w:rsidRPr="00E81B85">
        <w:t xml:space="preserve"> a través de las siguientes direcciones electrónicas:</w:t>
      </w:r>
    </w:p>
    <w:p w14:paraId="6DEB7E0B" w14:textId="77777777" w:rsidR="006343AF" w:rsidRDefault="00F84FC7" w:rsidP="006343AF">
      <w:pPr>
        <w:tabs>
          <w:tab w:val="left" w:pos="7275"/>
        </w:tabs>
        <w:jc w:val="center"/>
      </w:pPr>
      <w:hyperlink r:id="rId27" w:history="1">
        <w:r w:rsidR="009B4F45" w:rsidRPr="00422B6C">
          <w:t>http://transparenciapresupuestaria.gob.mx/es/PTP/Capacitacion</w:t>
        </w:r>
      </w:hyperlink>
    </w:p>
    <w:p w14:paraId="7E4F4F6C" w14:textId="77777777" w:rsidR="009B4F45" w:rsidRPr="006343AF" w:rsidRDefault="00F84FC7" w:rsidP="006343AF">
      <w:pPr>
        <w:tabs>
          <w:tab w:val="left" w:pos="7275"/>
        </w:tabs>
        <w:jc w:val="center"/>
      </w:pPr>
      <w:hyperlink r:id="rId28" w:history="1">
        <w:r w:rsidR="00422B6C" w:rsidRPr="00422B6C">
          <w:t>http://www.transparenciapresupuestaria.gob.mx/es/PTP/Formato_Unico</w:t>
        </w:r>
      </w:hyperlink>
      <w:r w:rsidR="00422B6C">
        <w:t xml:space="preserve"> </w:t>
      </w:r>
    </w:p>
    <w:p w14:paraId="43A6E3EF" w14:textId="77777777" w:rsidR="001D2EBA" w:rsidRDefault="001D2EBA">
      <w:pPr>
        <w:spacing w:line="276" w:lineRule="auto"/>
        <w:jc w:val="left"/>
        <w:rPr>
          <w:rFonts w:ascii="Soberana Titular" w:eastAsiaTheme="majorEastAsia" w:hAnsi="Soberana Titular" w:cstheme="majorBidi"/>
          <w:b/>
          <w:bCs/>
          <w:sz w:val="28"/>
          <w:szCs w:val="28"/>
        </w:rPr>
      </w:pPr>
    </w:p>
    <w:p w14:paraId="748331D8" w14:textId="77777777" w:rsidR="00823215" w:rsidRPr="005105D5" w:rsidRDefault="00823215" w:rsidP="002D530B"/>
    <w:p w14:paraId="681C2C7E" w14:textId="77777777" w:rsidR="007D3CD0" w:rsidRDefault="00B747B1" w:rsidP="002D530B">
      <w:pPr>
        <w:pStyle w:val="Ttulo2"/>
      </w:pPr>
      <w:bookmarkStart w:id="16" w:name="_Toc447904087"/>
      <w:r>
        <w:t>Gestión de Proyectos</w:t>
      </w:r>
      <w:bookmarkEnd w:id="16"/>
    </w:p>
    <w:p w14:paraId="1BE3D5E3" w14:textId="5C401614" w:rsidR="001D5372" w:rsidRDefault="004056B7" w:rsidP="001D5372">
      <w:pPr>
        <w:pStyle w:val="Prrafodelista"/>
        <w:numPr>
          <w:ilvl w:val="0"/>
          <w:numId w:val="19"/>
        </w:numPr>
      </w:pPr>
      <w:r>
        <w:t>Dimensión Cabalidad:</w:t>
      </w:r>
      <w:r w:rsidR="008D6F7D">
        <w:t xml:space="preserve"> debe cambiarse</w:t>
      </w:r>
      <w:r w:rsidR="00872B0B">
        <w:t xml:space="preserve"> de estatus </w:t>
      </w:r>
      <w:r w:rsidR="008D6F7D">
        <w:t xml:space="preserve">del </w:t>
      </w:r>
      <w:r w:rsidR="00872B0B">
        <w:t>proyecto de aqu</w:t>
      </w:r>
      <w:r w:rsidR="00C142AC">
        <w:t>e</w:t>
      </w:r>
      <w:r w:rsidR="00872B0B">
        <w:t>llos que deban ser cancelados o suspendidos, ya que los proyectos en ejecución son únicamente los que continúan vigentes y cuyo avance físico y financiero será reportado en el trimestre más próximo.</w:t>
      </w:r>
    </w:p>
    <w:p w14:paraId="0E911F76" w14:textId="5EF19AA2" w:rsidR="007D3CD0" w:rsidRDefault="007D3CD0" w:rsidP="007D3CD0">
      <w:pPr>
        <w:pStyle w:val="Prrafodelista"/>
        <w:numPr>
          <w:ilvl w:val="0"/>
          <w:numId w:val="19"/>
        </w:numPr>
      </w:pPr>
      <w:r>
        <w:t xml:space="preserve">Dimensión Congruencia: </w:t>
      </w:r>
      <w:r w:rsidR="008D6F7D">
        <w:t>se ha detectado la existencia de</w:t>
      </w:r>
      <w:r>
        <w:t xml:space="preserve"> proyectos</w:t>
      </w:r>
      <w:r w:rsidR="005E6FEF">
        <w:t xml:space="preserve"> cuyo estatus permanece en registro, y</w:t>
      </w:r>
      <w:r w:rsidR="008D6F7D">
        <w:t xml:space="preserve"> </w:t>
      </w:r>
      <w:r>
        <w:t>cuentan con un avance físico y financiero al 100%</w:t>
      </w:r>
      <w:r w:rsidR="005E6FEF">
        <w:t>,</w:t>
      </w:r>
      <w:r>
        <w:t xml:space="preserve"> </w:t>
      </w:r>
      <w:r w:rsidR="001B0FDC">
        <w:t>lo cual hace evidente que</w:t>
      </w:r>
      <w:r>
        <w:t xml:space="preserve"> dicha </w:t>
      </w:r>
      <w:r w:rsidRPr="001B0FDC">
        <w:rPr>
          <w:b/>
        </w:rPr>
        <w:t xml:space="preserve">información </w:t>
      </w:r>
      <w:r w:rsidR="008D6F7D" w:rsidRPr="001B0FDC">
        <w:rPr>
          <w:b/>
        </w:rPr>
        <w:t xml:space="preserve">no ha sido validada </w:t>
      </w:r>
      <w:r w:rsidR="001B0FDC">
        <w:rPr>
          <w:b/>
        </w:rPr>
        <w:t>por la secretaría de finanzas</w:t>
      </w:r>
      <w:r w:rsidR="00C142AC">
        <w:rPr>
          <w:b/>
        </w:rPr>
        <w:t xml:space="preserve"> (o análoga)</w:t>
      </w:r>
      <w:r w:rsidR="008D6F7D">
        <w:t>, lo que se debe</w:t>
      </w:r>
      <w:r w:rsidR="000E3CBE">
        <w:t xml:space="preserve"> a que los ejecutores del gasto no concluyen el proceso del registro de los avances de los proyectos en los informes trimestrales</w:t>
      </w:r>
      <w:r w:rsidR="003D2FB5">
        <w:t>.</w:t>
      </w:r>
      <w:r w:rsidR="00166853">
        <w:t xml:space="preserve"> Por lo </w:t>
      </w:r>
      <w:r w:rsidR="00C5260D">
        <w:t xml:space="preserve">anterior, </w:t>
      </w:r>
      <w:r w:rsidR="00166853">
        <w:t>es necesario</w:t>
      </w:r>
      <w:r w:rsidR="003D2FB5">
        <w:t xml:space="preserve"> reg</w:t>
      </w:r>
      <w:r w:rsidR="00DA1124">
        <w:t>istrar</w:t>
      </w:r>
      <w:r w:rsidR="003D2FB5">
        <w:t xml:space="preserve"> los avances físico y financiero al 100% de los proyectos que hayan sido concluidos en el reporte trimestral correspondiente</w:t>
      </w:r>
      <w:r w:rsidR="00C5260D">
        <w:t xml:space="preserve">; </w:t>
      </w:r>
      <w:r w:rsidR="003D2FB5">
        <w:t xml:space="preserve">que </w:t>
      </w:r>
      <w:r w:rsidR="00C5260D">
        <w:t>e</w:t>
      </w:r>
      <w:r w:rsidR="00166853">
        <w:t>stos se validen</w:t>
      </w:r>
      <w:r w:rsidR="003D2FB5">
        <w:t xml:space="preserve"> en tiempo y forma por la entidad federativa</w:t>
      </w:r>
      <w:r w:rsidR="00C5260D">
        <w:t>,</w:t>
      </w:r>
      <w:r w:rsidR="003D2FB5">
        <w:t xml:space="preserve"> y una vez que haya sido entregado el informe trimestral a la Cámara de Diputados, entonces deberá cambiarse el estatus de dichos proyectos a terminado</w:t>
      </w:r>
      <w:r w:rsidR="001B0FDC">
        <w:t>.</w:t>
      </w:r>
      <w:r w:rsidR="00F36E0C">
        <w:t xml:space="preserve"> </w:t>
      </w:r>
    </w:p>
    <w:p w14:paraId="7070BBF8" w14:textId="77777777" w:rsidR="001D5372" w:rsidRDefault="001D5372" w:rsidP="001D5372">
      <w:pPr>
        <w:pStyle w:val="Prrafodelista"/>
        <w:numPr>
          <w:ilvl w:val="0"/>
          <w:numId w:val="19"/>
        </w:numPr>
      </w:pPr>
      <w:r>
        <w:t xml:space="preserve">Dimensión Granularidad: </w:t>
      </w:r>
    </w:p>
    <w:p w14:paraId="2FE80B96" w14:textId="77777777" w:rsidR="001D5372" w:rsidRDefault="001B0FDC" w:rsidP="001D5372">
      <w:pPr>
        <w:pStyle w:val="Prrafodelista"/>
        <w:numPr>
          <w:ilvl w:val="1"/>
          <w:numId w:val="19"/>
        </w:numPr>
      </w:pPr>
      <w:r>
        <w:t>D</w:t>
      </w:r>
      <w:r w:rsidR="008D6F7D">
        <w:t xml:space="preserve">ebe evitarse el uso de la categoría </w:t>
      </w:r>
      <w:r w:rsidR="001D5372" w:rsidRPr="00560479">
        <w:t>"</w:t>
      </w:r>
      <w:r w:rsidR="001D5372">
        <w:t>o</w:t>
      </w:r>
      <w:r w:rsidR="001D5372" w:rsidRPr="00560479">
        <w:t>tros</w:t>
      </w:r>
      <w:r w:rsidR="001D5372">
        <w:t xml:space="preserve"> proyectos</w:t>
      </w:r>
      <w:r w:rsidR="008D6F7D">
        <w:t>".</w:t>
      </w:r>
    </w:p>
    <w:p w14:paraId="741141F2" w14:textId="77777777" w:rsidR="001D5372" w:rsidRDefault="00D92753" w:rsidP="001D5372">
      <w:pPr>
        <w:pStyle w:val="Prrafodelista"/>
        <w:numPr>
          <w:ilvl w:val="1"/>
          <w:numId w:val="19"/>
        </w:numPr>
      </w:pPr>
      <w:r>
        <w:t>Durante</w:t>
      </w:r>
      <w:r w:rsidR="001D5372">
        <w:t xml:space="preserve"> los periodos inter-trimestrales</w:t>
      </w:r>
      <w:r>
        <w:t>, deberá registrarse la</w:t>
      </w:r>
      <w:r w:rsidR="001D5372">
        <w:t xml:space="preserve"> información</w:t>
      </w:r>
      <w:r>
        <w:t xml:space="preserve"> básica de identificación</w:t>
      </w:r>
      <w:r w:rsidR="001D5372">
        <w:t xml:space="preserve"> de los proyectos, los cuales </w:t>
      </w:r>
      <w:r w:rsidR="001D5372" w:rsidRPr="00B9477D">
        <w:t>debe</w:t>
      </w:r>
      <w:r w:rsidR="001D5372">
        <w:t>n</w:t>
      </w:r>
      <w:r w:rsidR="001D5372" w:rsidRPr="00B9477D">
        <w:t xml:space="preserve"> guardar congruencia con los proyectos que son aprobados dentro del Presupuesto de Egresos de la Federación</w:t>
      </w:r>
      <w:r w:rsidR="001D5372">
        <w:t>,</w:t>
      </w:r>
      <w:r w:rsidR="001D5372" w:rsidRPr="00B9477D">
        <w:t xml:space="preserve"> así como con los proyectos aprobados por la instancia estatal o municipal facultada</w:t>
      </w:r>
      <w:r w:rsidR="001D5372">
        <w:t xml:space="preserve">. </w:t>
      </w:r>
    </w:p>
    <w:p w14:paraId="551BD38E" w14:textId="77777777" w:rsidR="001C01B6" w:rsidRDefault="001C01B6" w:rsidP="00166853">
      <w:pPr>
        <w:pStyle w:val="Prrafodelista"/>
        <w:numPr>
          <w:ilvl w:val="0"/>
          <w:numId w:val="19"/>
        </w:numPr>
      </w:pPr>
      <w:r w:rsidRPr="00166853">
        <w:t xml:space="preserve">Dimensión Homogeneidad: </w:t>
      </w:r>
      <w:r w:rsidR="00BD09BC" w:rsidRPr="00166853">
        <w:t>la información financiera</w:t>
      </w:r>
      <w:r w:rsidRPr="00166853">
        <w:t xml:space="preserve"> </w:t>
      </w:r>
      <w:r w:rsidR="00166853">
        <w:t xml:space="preserve">se debe </w:t>
      </w:r>
      <w:r w:rsidRPr="00166853">
        <w:t>captura</w:t>
      </w:r>
      <w:r w:rsidR="00166853">
        <w:t>r</w:t>
      </w:r>
      <w:r w:rsidRPr="00166853">
        <w:t xml:space="preserve"> </w:t>
      </w:r>
      <w:r w:rsidR="00166853">
        <w:t>en congruencia</w:t>
      </w:r>
      <w:r w:rsidRPr="00166853">
        <w:t xml:space="preserve"> con los criterios de captura establecidos por el CONAC, principalmente las Normas y Metodología para la Determinación de los Momentos Contables de los Egresos así como las Normas y Metodología </w:t>
      </w:r>
      <w:r w:rsidRPr="00166853">
        <w:lastRenderedPageBreak/>
        <w:t xml:space="preserve">para la Determinación de los Momentos Contables de los Ingresos. Para lo anterior, las secretarías de finanzas </w:t>
      </w:r>
      <w:r w:rsidR="002373A1">
        <w:t xml:space="preserve">(o análogas) </w:t>
      </w:r>
      <w:r w:rsidRPr="00166853">
        <w:t xml:space="preserve">deben </w:t>
      </w:r>
      <w:r w:rsidR="00166853">
        <w:t>realizar</w:t>
      </w:r>
      <w:r w:rsidRPr="00166853">
        <w:t xml:space="preserve"> una estrategia de homologación contable de manera central y con ello evitar que la información se sujete a interpretaciones que dificulten la valoración objetiva sobre el desempeño presupuestario.</w:t>
      </w:r>
    </w:p>
    <w:p w14:paraId="278FC521" w14:textId="77777777" w:rsidR="00B747B1" w:rsidRDefault="00B747B1" w:rsidP="002D530B">
      <w:pPr>
        <w:pStyle w:val="Ttulo2"/>
      </w:pPr>
      <w:bookmarkStart w:id="17" w:name="_Toc447904088"/>
      <w:r>
        <w:t>Avance Financiero</w:t>
      </w:r>
      <w:bookmarkEnd w:id="17"/>
    </w:p>
    <w:p w14:paraId="518A54F6" w14:textId="77777777" w:rsidR="00B747B1" w:rsidRDefault="00C44FB0" w:rsidP="00C44FB0">
      <w:pPr>
        <w:pStyle w:val="Prrafodelista"/>
        <w:numPr>
          <w:ilvl w:val="0"/>
          <w:numId w:val="21"/>
        </w:numPr>
      </w:pPr>
      <w:r>
        <w:t xml:space="preserve">Dimensión Cabalidad: </w:t>
      </w:r>
      <w:r w:rsidR="00B747B1" w:rsidRPr="001B0FDC">
        <w:rPr>
          <w:b/>
        </w:rPr>
        <w:t>se deberá registrar la totalidad de los Pp que transfieren recursos federales</w:t>
      </w:r>
      <w:r w:rsidR="00D92753" w:rsidRPr="001B0FDC">
        <w:rPr>
          <w:b/>
        </w:rPr>
        <w:t xml:space="preserve">, así como el monto que </w:t>
      </w:r>
      <w:r w:rsidR="00B747B1" w:rsidRPr="001B0FDC">
        <w:rPr>
          <w:b/>
        </w:rPr>
        <w:t>fue recaudado</w:t>
      </w:r>
      <w:r w:rsidR="00D92753" w:rsidRPr="001B0FDC">
        <w:rPr>
          <w:b/>
        </w:rPr>
        <w:t xml:space="preserve"> de acuerdo con los registros de la SHCP.</w:t>
      </w:r>
    </w:p>
    <w:p w14:paraId="42EA3044" w14:textId="77777777" w:rsidR="00B747B1" w:rsidRDefault="00C44FB0" w:rsidP="00C44FB0">
      <w:pPr>
        <w:pStyle w:val="Prrafodelista"/>
        <w:numPr>
          <w:ilvl w:val="0"/>
          <w:numId w:val="21"/>
        </w:numPr>
        <w:rPr>
          <w:lang w:eastAsia="zh-TW"/>
        </w:rPr>
      </w:pPr>
      <w:r>
        <w:t xml:space="preserve">Dimensión Congruencia: </w:t>
      </w:r>
      <w:r w:rsidR="00B747B1" w:rsidRPr="008252B8">
        <w:t>d</w:t>
      </w:r>
      <w:r w:rsidR="00B747B1" w:rsidRPr="008252B8">
        <w:rPr>
          <w:lang w:eastAsia="zh-TW"/>
        </w:rPr>
        <w:t>urante el proceso de validación</w:t>
      </w:r>
      <w:r w:rsidR="00B747B1">
        <w:rPr>
          <w:lang w:eastAsia="zh-TW"/>
        </w:rPr>
        <w:t>,</w:t>
      </w:r>
      <w:r w:rsidR="00B747B1" w:rsidRPr="008252B8">
        <w:rPr>
          <w:lang w:eastAsia="zh-TW"/>
        </w:rPr>
        <w:t xml:space="preserve"> </w:t>
      </w:r>
      <w:r w:rsidR="00B747B1" w:rsidRPr="001B0FDC">
        <w:rPr>
          <w:b/>
          <w:lang w:eastAsia="zh-TW"/>
        </w:rPr>
        <w:t xml:space="preserve">las entidades federativas deben verificar que la información reportada guarde congruencia </w:t>
      </w:r>
      <w:r w:rsidR="00D92753" w:rsidRPr="001B0FDC">
        <w:rPr>
          <w:b/>
          <w:lang w:eastAsia="zh-TW"/>
        </w:rPr>
        <w:t>con lo ministrado por la SHCP</w:t>
      </w:r>
      <w:r w:rsidR="00D92753">
        <w:rPr>
          <w:lang w:eastAsia="zh-TW"/>
        </w:rPr>
        <w:t xml:space="preserve">. </w:t>
      </w:r>
      <w:r w:rsidR="00B747B1">
        <w:rPr>
          <w:lang w:eastAsia="zh-TW"/>
        </w:rPr>
        <w:t>Dentro del módulo de Avance Financiero, es posible identificar el sub-módulo de Analítico de Regi</w:t>
      </w:r>
      <w:r w:rsidR="00D92753">
        <w:rPr>
          <w:lang w:eastAsia="zh-TW"/>
        </w:rPr>
        <w:t>stro, donde es posible revisar el detalle de l</w:t>
      </w:r>
      <w:r w:rsidR="00B747B1">
        <w:rPr>
          <w:lang w:eastAsia="zh-TW"/>
        </w:rPr>
        <w:t>os montos que han sido transferidos por la T</w:t>
      </w:r>
      <w:r w:rsidR="00D92753">
        <w:rPr>
          <w:lang w:eastAsia="zh-TW"/>
        </w:rPr>
        <w:t>ESOFE a cada entidad federativa.</w:t>
      </w:r>
    </w:p>
    <w:p w14:paraId="2D4A84CF" w14:textId="77777777" w:rsidR="001D5372" w:rsidRPr="00166853" w:rsidRDefault="001B0FDC" w:rsidP="001D5372">
      <w:pPr>
        <w:pStyle w:val="Prrafodelista"/>
        <w:numPr>
          <w:ilvl w:val="0"/>
          <w:numId w:val="21"/>
        </w:numPr>
      </w:pPr>
      <w:r w:rsidRPr="00166853">
        <w:t>Dimensión</w:t>
      </w:r>
      <w:r w:rsidR="001D5372" w:rsidRPr="00166853">
        <w:t xml:space="preserve"> Homogeneidad: el Avance Financiero deberá reportarse de acuerdo a los seis momentos contables del gasto (Aprobado, Modificado, Comprometido, Devengado, Ejercido y Pagado) y a uno del ingreso (Recaudado). </w:t>
      </w:r>
    </w:p>
    <w:p w14:paraId="1ED5C674" w14:textId="77777777" w:rsidR="00B747B1" w:rsidRDefault="00B747B1" w:rsidP="002D530B">
      <w:pPr>
        <w:pStyle w:val="Ttulo2"/>
      </w:pPr>
      <w:bookmarkStart w:id="18" w:name="_Toc447904089"/>
      <w:r>
        <w:t>Indicadores</w:t>
      </w:r>
      <w:bookmarkEnd w:id="18"/>
    </w:p>
    <w:p w14:paraId="0A2B0E09" w14:textId="77777777" w:rsidR="00C44FB0" w:rsidRPr="00C44FB0" w:rsidRDefault="00C44FB0" w:rsidP="000605C8">
      <w:pPr>
        <w:rPr>
          <w:lang w:eastAsia="zh-TW"/>
        </w:rPr>
      </w:pPr>
      <w:r>
        <w:rPr>
          <w:lang w:eastAsia="zh-TW"/>
        </w:rPr>
        <w:t>Este nivel permite conocer el cumplimiento de los objetivos que persiguen los FAF, por lo cual</w:t>
      </w:r>
      <w:r w:rsidR="002373A1">
        <w:rPr>
          <w:lang w:eastAsia="zh-TW"/>
        </w:rPr>
        <w:t>,</w:t>
      </w:r>
      <w:r>
        <w:rPr>
          <w:lang w:eastAsia="zh-TW"/>
        </w:rPr>
        <w:t xml:space="preserve"> para contar con información de calidad</w:t>
      </w:r>
      <w:r w:rsidR="002373A1">
        <w:rPr>
          <w:lang w:eastAsia="zh-TW"/>
        </w:rPr>
        <w:t>,</w:t>
      </w:r>
      <w:r>
        <w:rPr>
          <w:lang w:eastAsia="zh-TW"/>
        </w:rPr>
        <w:t xml:space="preserve"> se requiere:</w:t>
      </w:r>
    </w:p>
    <w:p w14:paraId="30C62418" w14:textId="77777777" w:rsidR="00534A95" w:rsidRDefault="00C44FB0" w:rsidP="00C44FB0">
      <w:pPr>
        <w:pStyle w:val="Prrafodelista"/>
        <w:numPr>
          <w:ilvl w:val="0"/>
          <w:numId w:val="22"/>
        </w:numPr>
      </w:pPr>
      <w:r>
        <w:t xml:space="preserve">Dimensión Congruencia: </w:t>
      </w:r>
    </w:p>
    <w:p w14:paraId="3C6388BB" w14:textId="74AACEFD" w:rsidR="00B747B1" w:rsidRPr="00166853" w:rsidRDefault="00D92753" w:rsidP="00365E59">
      <w:pPr>
        <w:pStyle w:val="Prrafodelista"/>
        <w:numPr>
          <w:ilvl w:val="1"/>
          <w:numId w:val="22"/>
        </w:numPr>
      </w:pPr>
      <w:r w:rsidRPr="00166853">
        <w:t>D</w:t>
      </w:r>
      <w:r w:rsidR="00B747B1" w:rsidRPr="00166853">
        <w:t xml:space="preserve">eben reportarse las metas correspondientes a los indicadores de todos los </w:t>
      </w:r>
      <w:r w:rsidR="00056F65" w:rsidRPr="00166853">
        <w:t>FAF</w:t>
      </w:r>
      <w:r w:rsidR="001F54BE" w:rsidRPr="00166853">
        <w:t xml:space="preserve"> </w:t>
      </w:r>
      <w:r w:rsidR="00B747B1" w:rsidRPr="00166853">
        <w:t>en el primer trimestre del año</w:t>
      </w:r>
      <w:r w:rsidRPr="00166853">
        <w:t>.</w:t>
      </w:r>
      <w:r w:rsidR="00365E59" w:rsidRPr="00166853">
        <w:t xml:space="preserve"> Para realizarlo en tiempo y forma, a partir de la </w:t>
      </w:r>
      <w:r w:rsidR="004A6D45">
        <w:t>b</w:t>
      </w:r>
      <w:r w:rsidR="00365E59" w:rsidRPr="00166853">
        <w:t xml:space="preserve"> quincena de marzo</w:t>
      </w:r>
      <w:r w:rsidR="002373A1">
        <w:t xml:space="preserve"> de 2016</w:t>
      </w:r>
      <w:r w:rsidR="00365E59" w:rsidRPr="00166853">
        <w:t xml:space="preserve">, </w:t>
      </w:r>
      <w:r w:rsidR="002373A1">
        <w:t>es</w:t>
      </w:r>
      <w:r w:rsidR="002373A1" w:rsidRPr="00166853">
        <w:t xml:space="preserve"> </w:t>
      </w:r>
      <w:r w:rsidR="00365E59" w:rsidRPr="00166853">
        <w:t>posible cargar en el SFU la información referente a las metas en este componente.</w:t>
      </w:r>
    </w:p>
    <w:p w14:paraId="518149DF" w14:textId="77777777" w:rsidR="00534A95" w:rsidRDefault="00534A95" w:rsidP="00534A95">
      <w:pPr>
        <w:pStyle w:val="Prrafodelista"/>
        <w:numPr>
          <w:ilvl w:val="1"/>
          <w:numId w:val="22"/>
        </w:numPr>
      </w:pPr>
      <w:r>
        <w:lastRenderedPageBreak/>
        <w:t>Respecto a l</w:t>
      </w:r>
      <w:r w:rsidR="00D92753">
        <w:t xml:space="preserve">os avances de los indicadores, </w:t>
      </w:r>
      <w:r>
        <w:t>deben ser reportados en b</w:t>
      </w:r>
      <w:r w:rsidR="00D92753">
        <w:t>ase a su frecuencia de medición; es decir,</w:t>
      </w:r>
      <w:r>
        <w:t xml:space="preserve"> si se trata de indicadores trimestrales se registrarán los avances en los cuatro trimestres, los semestrales se reportarán en el segundo y cuarto trimestre, y los anuales al cuarto trimestre.</w:t>
      </w:r>
    </w:p>
    <w:p w14:paraId="67FBC4FA" w14:textId="77777777" w:rsidR="00365E59" w:rsidRDefault="00D92753" w:rsidP="00F75ECC">
      <w:pPr>
        <w:pStyle w:val="Prrafodelista"/>
        <w:numPr>
          <w:ilvl w:val="1"/>
          <w:numId w:val="22"/>
        </w:numPr>
      </w:pPr>
      <w:r w:rsidRPr="001B0FDC">
        <w:rPr>
          <w:b/>
        </w:rPr>
        <w:t>Debe verificarse</w:t>
      </w:r>
      <w:r w:rsidR="00B747B1" w:rsidRPr="001B0FDC">
        <w:rPr>
          <w:b/>
        </w:rPr>
        <w:t xml:space="preserve"> que las metas y avances reportados dentro del SFU sean congruentes con el método de cálculo establecido para cada indicador</w:t>
      </w:r>
      <w:r>
        <w:t>.</w:t>
      </w:r>
      <w:r w:rsidR="00B747B1" w:rsidRPr="00DB340A">
        <w:t xml:space="preserve"> </w:t>
      </w:r>
    </w:p>
    <w:p w14:paraId="40C0AA46" w14:textId="77777777" w:rsidR="008C3FDB" w:rsidRPr="0004720B" w:rsidRDefault="008C3FDB" w:rsidP="00E12C8B">
      <w:pPr>
        <w:ind w:firstLine="709"/>
      </w:pPr>
      <w:r w:rsidRPr="0004720B">
        <w:t xml:space="preserve">Es importante destacar que en el marco del documento relativo al artículo 80 de la LGCG, se implementarán modificaciones para la mejora de las MIR de los FAF, en colaboración con las Dependencias Coordinadoras de los mismos. Estas modificaciones se reflejarán en las MIR a cuyas metas y avances se dará seguimiento durante 2016. </w:t>
      </w:r>
    </w:p>
    <w:p w14:paraId="54181FAD" w14:textId="77777777" w:rsidR="003A7D34" w:rsidRDefault="00B747B1" w:rsidP="002D530B">
      <w:pPr>
        <w:pStyle w:val="Ttulo2"/>
      </w:pPr>
      <w:bookmarkStart w:id="19" w:name="_Toc447904090"/>
      <w:r>
        <w:t>Evaluaciones</w:t>
      </w:r>
      <w:bookmarkEnd w:id="19"/>
      <w:r>
        <w:t xml:space="preserve"> </w:t>
      </w:r>
    </w:p>
    <w:p w14:paraId="3C8420B1" w14:textId="3A2557BE" w:rsidR="00A5674B" w:rsidRDefault="00502D82" w:rsidP="00A5674B">
      <w:pPr>
        <w:pStyle w:val="Prrafodelista"/>
        <w:numPr>
          <w:ilvl w:val="0"/>
          <w:numId w:val="20"/>
        </w:numPr>
      </w:pPr>
      <w:r>
        <w:t xml:space="preserve">Dimensión Congruencia: </w:t>
      </w:r>
      <w:r w:rsidR="002373A1">
        <w:t>E</w:t>
      </w:r>
      <w:r w:rsidR="00A5674B">
        <w:t>s necesario que las entidades federativas solo registren en el SFU las evaluaciones que:</w:t>
      </w:r>
    </w:p>
    <w:p w14:paraId="33E6EEE8" w14:textId="3352F7E4" w:rsidR="001B0FDC" w:rsidRDefault="001B0FDC" w:rsidP="002373A1">
      <w:pPr>
        <w:pStyle w:val="Prrafodelista"/>
        <w:numPr>
          <w:ilvl w:val="1"/>
          <w:numId w:val="20"/>
        </w:numPr>
      </w:pPr>
      <w:r>
        <w:t>S</w:t>
      </w:r>
      <w:r w:rsidR="00A5674B">
        <w:t>e apeg</w:t>
      </w:r>
      <w:r w:rsidR="00F00A18">
        <w:t>uen</w:t>
      </w:r>
      <w:r w:rsidR="00A5674B">
        <w:t xml:space="preserve"> a alguno de los tipos de </w:t>
      </w:r>
      <w:r w:rsidR="00686B51">
        <w:t xml:space="preserve">evaluaciones </w:t>
      </w:r>
      <w:r w:rsidR="00A5674B">
        <w:t xml:space="preserve">que se establecen en el </w:t>
      </w:r>
      <w:r w:rsidR="002373A1">
        <w:t xml:space="preserve">numeral </w:t>
      </w:r>
      <w:r w:rsidR="00A5674B">
        <w:t>décimo sexto de los Lineamientos generales para la evaluació</w:t>
      </w:r>
      <w:r w:rsidR="00900F83">
        <w:t xml:space="preserve">n de los Programas Federales de </w:t>
      </w:r>
      <w:r w:rsidR="00A5674B">
        <w:t>la Administración Pública Federal</w:t>
      </w:r>
      <w:r w:rsidR="002373A1">
        <w:t>, de conformidad con lo establecido en numeral 11 de la Norma para establecer el formato para la difusión de los resultados de las evaluaciones de los recursos federales ministrados a las entidades federativas</w:t>
      </w:r>
      <w:r w:rsidR="00F00A18">
        <w:t xml:space="preserve"> (Norma)</w:t>
      </w:r>
      <w:r w:rsidR="002373A1">
        <w:t>, emitida por el CONAC.</w:t>
      </w:r>
      <w:r w:rsidR="00A5674B">
        <w:t xml:space="preserve"> </w:t>
      </w:r>
    </w:p>
    <w:p w14:paraId="3D68147F" w14:textId="77777777" w:rsidR="00A5674B" w:rsidRDefault="001B0FDC" w:rsidP="00A5674B">
      <w:pPr>
        <w:pStyle w:val="Prrafodelista"/>
        <w:numPr>
          <w:ilvl w:val="1"/>
          <w:numId w:val="20"/>
        </w:numPr>
      </w:pPr>
      <w:r>
        <w:t>C</w:t>
      </w:r>
      <w:r w:rsidR="00A5674B">
        <w:t>ontar con</w:t>
      </w:r>
      <w:r>
        <w:t>, al menos,</w:t>
      </w:r>
      <w:r w:rsidR="00A5674B">
        <w:t xml:space="preserve"> 1) Análisis FODA 2) Conclusiones y 3) recomendaciones de Mejora</w:t>
      </w:r>
      <w:r>
        <w:t>.</w:t>
      </w:r>
    </w:p>
    <w:p w14:paraId="28E84DAB" w14:textId="424CEBDE" w:rsidR="00A5674B" w:rsidRDefault="00502D82" w:rsidP="00A5674B">
      <w:pPr>
        <w:pStyle w:val="Prrafodelista"/>
        <w:numPr>
          <w:ilvl w:val="0"/>
          <w:numId w:val="20"/>
        </w:numPr>
      </w:pPr>
      <w:r>
        <w:t xml:space="preserve">Dimensión Homogeneidad: </w:t>
      </w:r>
      <w:r w:rsidR="00A5674B" w:rsidRPr="00A5674B">
        <w:t xml:space="preserve">Los componentes mínimos del reporte de la evaluación de los programas estatales y programas municipales deben incorporar los elementos establecidos por </w:t>
      </w:r>
      <w:r w:rsidR="00F00A18">
        <w:t>el</w:t>
      </w:r>
      <w:r w:rsidR="00F00A18" w:rsidRPr="00A5674B">
        <w:t xml:space="preserve"> </w:t>
      </w:r>
      <w:r w:rsidR="00A5674B" w:rsidRPr="00DB57D5">
        <w:t>CONAC</w:t>
      </w:r>
      <w:r w:rsidR="00DB57D5">
        <w:t xml:space="preserve"> en la </w:t>
      </w:r>
      <w:r w:rsidR="00713A9C">
        <w:t>n</w:t>
      </w:r>
      <w:r w:rsidR="00F00A18">
        <w:t>orma</w:t>
      </w:r>
      <w:r w:rsidR="00A5674B" w:rsidRPr="00A5674B">
        <w:t>, de forma que se facilite la utilización de sus hallazgos en la mejora de los programas.</w:t>
      </w:r>
    </w:p>
    <w:p w14:paraId="2D200DBE" w14:textId="1FC76081" w:rsidR="0069766B" w:rsidRDefault="00A5674B" w:rsidP="0069766B">
      <w:pPr>
        <w:ind w:firstLine="709"/>
      </w:pPr>
      <w:r w:rsidRPr="00A5674B">
        <w:lastRenderedPageBreak/>
        <w:t xml:space="preserve">Es importante reiterar que </w:t>
      </w:r>
      <w:r w:rsidRPr="00A5674B">
        <w:rPr>
          <w:b/>
        </w:rPr>
        <w:t xml:space="preserve">todas las evaluaciones realizadas a recursos federales transferidos </w:t>
      </w:r>
      <w:r w:rsidR="00DB57D5">
        <w:rPr>
          <w:b/>
        </w:rPr>
        <w:t>sean</w:t>
      </w:r>
      <w:r w:rsidRPr="00A5674B">
        <w:rPr>
          <w:b/>
        </w:rPr>
        <w:t xml:space="preserve"> registradas en el SFU</w:t>
      </w:r>
      <w:r w:rsidRPr="00A5674B">
        <w:t xml:space="preserve"> para el adecuado seguimiento/alineación, cumplimiento de los objetivos, asegurar el reporte de los resultados de los recursos federales transferidos, por lo que es indispensable la coordinación entre las áreas responsables de coordinar la evaluación de los programas presupuestarios y aqu</w:t>
      </w:r>
      <w:r w:rsidR="00F00A18">
        <w:t>e</w:t>
      </w:r>
      <w:r w:rsidRPr="00A5674B">
        <w:t>lla encargada del reporte a través del SFU.</w:t>
      </w:r>
      <w:r w:rsidR="00206657">
        <w:t xml:space="preserve"> </w:t>
      </w:r>
    </w:p>
    <w:sectPr w:rsidR="0069766B" w:rsidSect="00864C62">
      <w:headerReference w:type="even" r:id="rId29"/>
      <w:headerReference w:type="default" r:id="rId30"/>
      <w:footerReference w:type="even" r:id="rId31"/>
      <w:footerReference w:type="default" r:id="rId32"/>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E72F3" w14:textId="77777777" w:rsidR="00F84FC7" w:rsidRDefault="00F84FC7" w:rsidP="00852D19">
      <w:r>
        <w:separator/>
      </w:r>
    </w:p>
  </w:endnote>
  <w:endnote w:type="continuationSeparator" w:id="0">
    <w:p w14:paraId="1F3BE6D9" w14:textId="77777777" w:rsidR="00F84FC7" w:rsidRDefault="00F84FC7" w:rsidP="00852D19">
      <w:r>
        <w:continuationSeparator/>
      </w:r>
    </w:p>
  </w:endnote>
  <w:endnote w:type="continuationNotice" w:id="1">
    <w:p w14:paraId="0BD65D6A" w14:textId="77777777" w:rsidR="00F84FC7" w:rsidRDefault="00F84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6587"/>
      <w:docPartObj>
        <w:docPartGallery w:val="Page Numbers (Bottom of Page)"/>
        <w:docPartUnique/>
      </w:docPartObj>
    </w:sdtPr>
    <w:sdtEndPr/>
    <w:sdtContent>
      <w:p w14:paraId="38DE6DC1" w14:textId="77777777" w:rsidR="001E7EF1" w:rsidRDefault="001E7EF1" w:rsidP="00852D19">
        <w:pPr>
          <w:pStyle w:val="Piedepgina"/>
        </w:pPr>
        <w:r>
          <w:fldChar w:fldCharType="begin"/>
        </w:r>
        <w:r>
          <w:instrText>PAGE   \* MERGEFORMAT</w:instrText>
        </w:r>
        <w:r>
          <w:fldChar w:fldCharType="separate"/>
        </w:r>
        <w:r w:rsidRPr="00E6615B">
          <w:rPr>
            <w:noProof/>
            <w:lang w:val="es-ES"/>
          </w:rPr>
          <w:t>18</w:t>
        </w:r>
        <w:r>
          <w:fldChar w:fldCharType="end"/>
        </w:r>
      </w:p>
    </w:sdtContent>
  </w:sdt>
  <w:p w14:paraId="48254A1F" w14:textId="77777777" w:rsidR="001E7EF1" w:rsidRPr="00533857" w:rsidRDefault="001E7EF1" w:rsidP="00852D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53983"/>
      <w:docPartObj>
        <w:docPartGallery w:val="Page Numbers (Bottom of Page)"/>
        <w:docPartUnique/>
      </w:docPartObj>
    </w:sdtPr>
    <w:sdtEndPr/>
    <w:sdtContent>
      <w:p w14:paraId="6DDB40D8" w14:textId="77777777" w:rsidR="001E7EF1" w:rsidRDefault="001E7EF1" w:rsidP="00852D19">
        <w:pPr>
          <w:pStyle w:val="Piedepgina"/>
        </w:pPr>
        <w:r>
          <w:fldChar w:fldCharType="begin"/>
        </w:r>
        <w:r>
          <w:instrText>PAGE   \* MERGEFORMAT</w:instrText>
        </w:r>
        <w:r>
          <w:fldChar w:fldCharType="separate"/>
        </w:r>
        <w:r w:rsidR="00F74C62" w:rsidRPr="00F74C62">
          <w:rPr>
            <w:noProof/>
            <w:lang w:val="es-ES"/>
          </w:rPr>
          <w:t>1</w:t>
        </w:r>
        <w:r>
          <w:fldChar w:fldCharType="end"/>
        </w:r>
      </w:p>
    </w:sdtContent>
  </w:sdt>
  <w:p w14:paraId="0F539E00" w14:textId="77777777" w:rsidR="001E7EF1" w:rsidRDefault="001E7EF1" w:rsidP="00852D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D6853" w14:textId="77777777" w:rsidR="00F84FC7" w:rsidRDefault="00F84FC7" w:rsidP="00852D19">
      <w:r>
        <w:separator/>
      </w:r>
    </w:p>
  </w:footnote>
  <w:footnote w:type="continuationSeparator" w:id="0">
    <w:p w14:paraId="7074F811" w14:textId="77777777" w:rsidR="00F84FC7" w:rsidRDefault="00F84FC7" w:rsidP="00852D19">
      <w:r>
        <w:continuationSeparator/>
      </w:r>
    </w:p>
  </w:footnote>
  <w:footnote w:type="continuationNotice" w:id="1">
    <w:p w14:paraId="6E526527" w14:textId="77777777" w:rsidR="00F84FC7" w:rsidRDefault="00F84FC7">
      <w:pPr>
        <w:spacing w:after="0" w:line="240" w:lineRule="auto"/>
      </w:pPr>
    </w:p>
  </w:footnote>
  <w:footnote w:id="2">
    <w:p w14:paraId="133936C7"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Pueden consultarse los videos en el canal de YouTube de Transparencia Presupuestaria, disponible en: https://www.youtube.com/channel/UCokAhIwndny0k2ROksI-qqg</w:t>
      </w:r>
    </w:p>
  </w:footnote>
  <w:footnote w:id="3">
    <w:p w14:paraId="14F72BA4"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El ICI se calcula cada trimestre para cada entidad federativa y un promedio nacional. La metodología detallada para su cálculo así como la evolución del mismo puede consultarse de manera pública en: </w:t>
      </w:r>
    </w:p>
    <w:p w14:paraId="6951E0A8" w14:textId="77777777" w:rsidR="001E7EF1" w:rsidRPr="00C05D1B" w:rsidRDefault="00F84FC7" w:rsidP="00C05D1B">
      <w:pPr>
        <w:pStyle w:val="Textonotapie"/>
        <w:rPr>
          <w:sz w:val="16"/>
          <w:szCs w:val="16"/>
        </w:rPr>
      </w:pPr>
      <w:hyperlink r:id="rId1" w:anchor="ComoReportan" w:history="1">
        <w:r w:rsidR="001E7EF1" w:rsidRPr="00C05D1B">
          <w:rPr>
            <w:sz w:val="16"/>
            <w:szCs w:val="16"/>
          </w:rPr>
          <w:t>http://www.transparenciapresupuestaria.gob.mx/es/PTP/EntidadesFederativas#ComoReportan</w:t>
        </w:r>
      </w:hyperlink>
      <w:r w:rsidR="001E7EF1" w:rsidRPr="00C05D1B">
        <w:rPr>
          <w:sz w:val="16"/>
          <w:szCs w:val="16"/>
        </w:rPr>
        <w:t xml:space="preserve"> </w:t>
      </w:r>
    </w:p>
  </w:footnote>
  <w:footnote w:id="4">
    <w:p w14:paraId="05248213"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En los casos en que se utilice información de algún otro periodo, se señalará en el cuerpo del documento. El informe que se remite al Congreso de la Unión correspondiente al cuarto trimestre de 2015 puede ser descargado desde: </w:t>
      </w:r>
    </w:p>
    <w:p w14:paraId="649EBBBD" w14:textId="77777777" w:rsidR="001E7EF1" w:rsidRPr="00C05D1B" w:rsidRDefault="001E7EF1" w:rsidP="00C05D1B">
      <w:pPr>
        <w:pStyle w:val="Textonotapie"/>
        <w:rPr>
          <w:sz w:val="16"/>
          <w:szCs w:val="16"/>
        </w:rPr>
      </w:pPr>
      <w:r w:rsidRPr="00C05D1B">
        <w:rPr>
          <w:sz w:val="16"/>
          <w:szCs w:val="16"/>
        </w:rPr>
        <w:t>http://finanzaspublicas.hacienda.gob.mx/es/Finanzas_Publicas/Informes_al_Congreso_de_la_Union</w:t>
      </w:r>
    </w:p>
  </w:footnote>
  <w:footnote w:id="5">
    <w:p w14:paraId="38951B46"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Dentro de este promedio se extrae el caso de Oaxaca, Baja California y Baja California Sur, por considerarse casos extremos.</w:t>
      </w:r>
    </w:p>
  </w:footnote>
  <w:footnote w:id="6">
    <w:p w14:paraId="4B442F8F" w14:textId="77777777" w:rsidR="001E7EF1" w:rsidRPr="007B1250" w:rsidRDefault="001E7EF1" w:rsidP="00C05D1B">
      <w:pPr>
        <w:pStyle w:val="Textonotapie"/>
        <w:rPr>
          <w:sz w:val="16"/>
          <w:szCs w:val="16"/>
        </w:rPr>
      </w:pPr>
      <w:r w:rsidRPr="00C05D1B">
        <w:rPr>
          <w:rStyle w:val="Refdenotaalpie"/>
          <w:sz w:val="16"/>
          <w:szCs w:val="16"/>
        </w:rPr>
        <w:footnoteRef/>
      </w:r>
      <w:r w:rsidRPr="00C05D1B">
        <w:rPr>
          <w:sz w:val="16"/>
          <w:szCs w:val="16"/>
        </w:rPr>
        <w:t xml:space="preserve"> Módulo sobre </w:t>
      </w:r>
      <w:r w:rsidRPr="007B1250">
        <w:rPr>
          <w:sz w:val="16"/>
          <w:szCs w:val="16"/>
        </w:rPr>
        <w:t>Disponibilidad y Uso de Tecnologías de la Información en los Hogares 2014 (MODUTIH 2014), INEGI.</w:t>
      </w:r>
    </w:p>
  </w:footnote>
  <w:footnote w:id="7">
    <w:p w14:paraId="11E166B4" w14:textId="4642D5FF" w:rsidR="001E7EF1" w:rsidRDefault="001E7EF1">
      <w:pPr>
        <w:pStyle w:val="Textonotapie"/>
      </w:pPr>
      <w:r w:rsidRPr="007B1250">
        <w:rPr>
          <w:rStyle w:val="Refdenotaalpie"/>
        </w:rPr>
        <w:footnoteRef/>
      </w:r>
      <w:r w:rsidRPr="007B1250">
        <w:t xml:space="preserve"> </w:t>
      </w:r>
      <w:r w:rsidRPr="007B1250">
        <w:rPr>
          <w:sz w:val="16"/>
        </w:rPr>
        <w:t xml:space="preserve">La penetración digital por entidad federativa se midió en base a la pregunta 7 del cuestionario aplicado en el MODUTIH 2014 de INEGI, en la que se consulta si tienen conexión a </w:t>
      </w:r>
      <w:r>
        <w:rPr>
          <w:sz w:val="16"/>
        </w:rPr>
        <w:t>Internet</w:t>
      </w:r>
      <w:r w:rsidRPr="007B1250">
        <w:rPr>
          <w:sz w:val="16"/>
        </w:rPr>
        <w:t xml:space="preserve"> por hogar. </w:t>
      </w:r>
    </w:p>
  </w:footnote>
  <w:footnote w:id="8">
    <w:p w14:paraId="0F2DD47F"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El calendario de captura y validación de la información para cada trimestre se encuentra disponible en los </w:t>
      </w:r>
      <w:r w:rsidRPr="00C05D1B">
        <w:rPr>
          <w:i/>
          <w:sz w:val="16"/>
          <w:szCs w:val="16"/>
        </w:rPr>
        <w:t xml:space="preserve">Lineamientos, </w:t>
      </w:r>
      <w:r w:rsidRPr="00C05D1B">
        <w:rPr>
          <w:sz w:val="16"/>
          <w:szCs w:val="16"/>
        </w:rPr>
        <w:t xml:space="preserve">Disponibles en: http://www.transparenciapresupuestaria.gob.mx/es/PTP/Formato_Unico </w:t>
      </w:r>
    </w:p>
  </w:footnote>
  <w:footnote w:id="9">
    <w:p w14:paraId="6C3DBC17"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En este caso se obtuvo una correlación de 0.05918 por lo cual no existe una relación significativa entre las variables.</w:t>
      </w:r>
    </w:p>
  </w:footnote>
  <w:footnote w:id="10">
    <w:p w14:paraId="1765A1CA" w14:textId="38945E18"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De igual forma fue calculado el coeficiente de correlación de dichas variables, el cual tuvo un valor de 0.0</w:t>
      </w:r>
      <w:r>
        <w:rPr>
          <w:sz w:val="16"/>
          <w:szCs w:val="16"/>
        </w:rPr>
        <w:t>6,</w:t>
      </w:r>
      <w:r w:rsidRPr="00C05D1B">
        <w:rPr>
          <w:sz w:val="16"/>
          <w:szCs w:val="16"/>
        </w:rPr>
        <w:t xml:space="preserve"> por lo </w:t>
      </w:r>
      <w:r>
        <w:rPr>
          <w:sz w:val="16"/>
          <w:szCs w:val="16"/>
        </w:rPr>
        <w:t>que</w:t>
      </w:r>
      <w:r w:rsidRPr="00C05D1B">
        <w:rPr>
          <w:sz w:val="16"/>
          <w:szCs w:val="16"/>
        </w:rPr>
        <w:t xml:space="preserve"> se infiere de igual forma que las variables no </w:t>
      </w:r>
      <w:r>
        <w:rPr>
          <w:sz w:val="16"/>
          <w:szCs w:val="16"/>
        </w:rPr>
        <w:t>tienen</w:t>
      </w:r>
      <w:r w:rsidRPr="00C05D1B">
        <w:rPr>
          <w:sz w:val="16"/>
          <w:szCs w:val="16"/>
        </w:rPr>
        <w:t xml:space="preserve"> relación directa.</w:t>
      </w:r>
    </w:p>
  </w:footnote>
  <w:footnote w:id="11">
    <w:p w14:paraId="30FC775C" w14:textId="2EEAA23A" w:rsidR="001E7EF1" w:rsidRPr="00C05D1B" w:rsidRDefault="001E7EF1" w:rsidP="00B86A00">
      <w:pPr>
        <w:pStyle w:val="Textonotapie"/>
        <w:jc w:val="left"/>
        <w:rPr>
          <w:sz w:val="16"/>
          <w:szCs w:val="16"/>
        </w:rPr>
      </w:pPr>
      <w:r w:rsidRPr="00C05D1B">
        <w:rPr>
          <w:rStyle w:val="Refdenotaalpie"/>
          <w:sz w:val="16"/>
          <w:szCs w:val="16"/>
        </w:rPr>
        <w:footnoteRef/>
      </w:r>
      <w:r w:rsidRPr="00C05D1B">
        <w:rPr>
          <w:sz w:val="16"/>
          <w:szCs w:val="16"/>
        </w:rPr>
        <w:t xml:space="preserve"> Los </w:t>
      </w:r>
      <w:r w:rsidRPr="00C05D1B">
        <w:rPr>
          <w:i/>
          <w:sz w:val="16"/>
          <w:szCs w:val="16"/>
        </w:rPr>
        <w:t>Lineamientos</w:t>
      </w:r>
      <w:r w:rsidRPr="00C05D1B">
        <w:rPr>
          <w:sz w:val="16"/>
          <w:szCs w:val="16"/>
        </w:rPr>
        <w:t xml:space="preserve"> pueden ser consultados en:</w:t>
      </w:r>
      <w:r>
        <w:rPr>
          <w:sz w:val="16"/>
          <w:szCs w:val="16"/>
        </w:rPr>
        <w:t xml:space="preserve"> </w:t>
      </w:r>
      <w:hyperlink r:id="rId2" w:history="1">
        <w:r w:rsidRPr="00C05D1B">
          <w:rPr>
            <w:rStyle w:val="Hipervnculo"/>
            <w:color w:val="auto"/>
            <w:sz w:val="16"/>
            <w:szCs w:val="16"/>
            <w:u w:val="none"/>
          </w:rPr>
          <w:t>http://dof.gob.mx/nota_detalle.php?codigo=5328458&amp;fecha=30/12/2013</w:t>
        </w:r>
      </w:hyperlink>
      <w:r w:rsidRPr="00C05D1B">
        <w:rPr>
          <w:sz w:val="16"/>
          <w:szCs w:val="16"/>
        </w:rPr>
        <w:t xml:space="preserve"> </w:t>
      </w:r>
    </w:p>
  </w:footnote>
  <w:footnote w:id="12">
    <w:p w14:paraId="607BC801" w14:textId="0DD4440D"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Los proyectos en ejecución son todos aqu</w:t>
      </w:r>
      <w:r>
        <w:rPr>
          <w:sz w:val="16"/>
          <w:szCs w:val="16"/>
        </w:rPr>
        <w:t>el</w:t>
      </w:r>
      <w:r w:rsidRPr="00C05D1B">
        <w:rPr>
          <w:sz w:val="16"/>
          <w:szCs w:val="16"/>
        </w:rPr>
        <w:t>los cuyo estatus en el SFU es Registro, por lo que deben capturarse avances en el trimestre más próximo, siempre y cuando su estatus no sea modificado a suspendido, cancelado o terminado. Mientras que los proyectos validados por las entidades federativas son aquéllos cuyos avances fueron registrados por los ejecutores en el trimestre, y éstos validados por la entidad federativa, por lo que dicha información se presenta en los informes trimestrales sobre el ejercicio, destino y resultados de los recursos federales transferidos.</w:t>
      </w:r>
    </w:p>
  </w:footnote>
  <w:footnote w:id="13">
    <w:p w14:paraId="07B4C86D" w14:textId="69AEAAC9"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La MIR es una herramienta de planeación estratégica que en forma resumida, sencilla y armónica establece con claridad los objetivos de un Pp y su alineación con aquellos de la planeación nacional y sectorial; incorpora los indicadores que miden los objetivos y resultados esperados; identifica los medios para obtener y verificar la información de los indicadores; describe los bienes y servicios que el Pp proporciona a la sociedad, así como las actividades e insumos para producirlos; e incluye supuestos sobre los riesgos y contingencias que pueden afectar el desempeño del programa.</w:t>
      </w:r>
    </w:p>
  </w:footnote>
  <w:footnote w:id="14">
    <w:p w14:paraId="3D79ACF4" w14:textId="77777777" w:rsidR="001E7EF1" w:rsidRPr="00C05D1B" w:rsidRDefault="001E7EF1" w:rsidP="00C05D1B">
      <w:pPr>
        <w:pStyle w:val="Textonotapie"/>
        <w:rPr>
          <w:sz w:val="16"/>
          <w:szCs w:val="16"/>
        </w:rPr>
      </w:pPr>
      <w:r w:rsidRPr="00C05D1B">
        <w:rPr>
          <w:rStyle w:val="Refdenotaalpie"/>
          <w:sz w:val="16"/>
          <w:szCs w:val="16"/>
        </w:rPr>
        <w:footnoteRef/>
      </w:r>
      <w:r w:rsidRPr="00C05D1B">
        <w:rPr>
          <w:sz w:val="16"/>
          <w:szCs w:val="16"/>
        </w:rPr>
        <w:t xml:space="preserve"> Los contactos de los coordinadores de los fondos de aportaciones del Ramo 33, se encuentran disponibles en el siguiente link: http://www.transparenciapresupuestaria.gob.mx/es/PTP/Formato_Unico</w:t>
      </w:r>
    </w:p>
  </w:footnote>
  <w:footnote w:id="15">
    <w:p w14:paraId="7FECDEAF" w14:textId="77777777" w:rsidR="001E7EF1" w:rsidRPr="00C05D1B" w:rsidRDefault="001E7EF1" w:rsidP="00B86A00">
      <w:pPr>
        <w:pStyle w:val="Textonotapie"/>
        <w:jc w:val="left"/>
        <w:rPr>
          <w:sz w:val="16"/>
          <w:szCs w:val="16"/>
        </w:rPr>
      </w:pPr>
      <w:r w:rsidRPr="00C05D1B">
        <w:rPr>
          <w:rStyle w:val="Refdenotaalpie"/>
          <w:sz w:val="16"/>
          <w:szCs w:val="16"/>
        </w:rPr>
        <w:footnoteRef/>
      </w:r>
      <w:r w:rsidRPr="00C05D1B">
        <w:rPr>
          <w:sz w:val="16"/>
          <w:szCs w:val="16"/>
        </w:rPr>
        <w:t xml:space="preserve"> La cual puede ser consultada en: </w:t>
      </w:r>
      <w:hyperlink r:id="rId3" w:history="1">
        <w:r w:rsidRPr="00C05D1B">
          <w:rPr>
            <w:rStyle w:val="Hipervnculo"/>
            <w:color w:val="auto"/>
            <w:sz w:val="16"/>
            <w:szCs w:val="16"/>
            <w:u w:val="none"/>
          </w:rPr>
          <w:t>http://www.transparenciapresupuestaria.gob.mx/work/models/PTP/Entidades_Federativas/SFU/Guia%20_de%20criterios%20_SFU%20VF_2.pdf</w:t>
        </w:r>
      </w:hyperlink>
      <w:r w:rsidRPr="00C05D1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61699" w14:textId="77777777" w:rsidR="001E7EF1" w:rsidRDefault="001E7EF1" w:rsidP="00852D19">
    <w:pPr>
      <w:pStyle w:val="Encabezado"/>
    </w:pPr>
    <w:r>
      <w:rPr>
        <w:noProof/>
      </w:rPr>
      <mc:AlternateContent>
        <mc:Choice Requires="wps">
          <w:drawing>
            <wp:anchor distT="0" distB="0" distL="114300" distR="114300" simplePos="0" relativeHeight="251662336" behindDoc="0" locked="0" layoutInCell="1" allowOverlap="1" wp14:anchorId="0D67B6EB" wp14:editId="5EE11B47">
              <wp:simplePos x="0" y="0"/>
              <wp:positionH relativeFrom="column">
                <wp:posOffset>3502660</wp:posOffset>
              </wp:positionH>
              <wp:positionV relativeFrom="paragraph">
                <wp:posOffset>-3175</wp:posOffset>
              </wp:positionV>
              <wp:extent cx="2163445" cy="364490"/>
              <wp:effectExtent l="0" t="0" r="0" b="0"/>
              <wp:wrapNone/>
              <wp:docPr id="8" name="8 Rectángulo"/>
              <wp:cNvGraphicFramePr/>
              <a:graphic xmlns:a="http://schemas.openxmlformats.org/drawingml/2006/main">
                <a:graphicData uri="http://schemas.microsoft.com/office/word/2010/wordprocessingShape">
                  <wps:wsp>
                    <wps:cNvSpPr/>
                    <wps:spPr>
                      <a:xfrm>
                        <a:off x="0" y="0"/>
                        <a:ext cx="2163445" cy="364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C15F9" w14:textId="77777777" w:rsidR="001E7EF1" w:rsidRDefault="001E7EF1">
                          <w:r>
                            <w:rPr>
                              <w:rFonts w:asciiTheme="minorHAnsi" w:hAnsi="Calibri"/>
                            </w:rPr>
                            <w:t>%8</w:t>
                          </w:r>
                          <w:r>
                            <w:t>Unidad de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7B6EB" id="8 Rectángulo" o:spid="_x0000_s1033" style="position:absolute;left:0;text-align:left;margin-left:275.8pt;margin-top:-.25pt;width:170.3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" filled="f" stroked="f" strokeweight="2pt">
              <v:textbox>
                <w:txbxContent>
                  <w:p w14:paraId="001C15F9" w14:textId="77777777" w:rsidR="001E7EF1" w:rsidRDefault="001E7EF1">
                    <w:r>
                      <w:rPr>
                        <w:rFonts w:asciiTheme="minorHAnsi" w:hAnsi="Calibri"/>
                      </w:rPr>
                      <w:t>%8</w:t>
                    </w:r>
                    <w:r>
                      <w:t>Unidad de Evaluación del Desempeño</w:t>
                    </w:r>
                  </w:p>
                </w:txbxContent>
              </v:textbox>
            </v:rect>
          </w:pict>
        </mc:Fallback>
      </mc:AlternateContent>
    </w:r>
    <w:r>
      <w:rPr>
        <w:noProof/>
      </w:rPr>
      <w:drawing>
        <wp:inline distT="0" distB="0" distL="0" distR="0" wp14:anchorId="7CE05EB0" wp14:editId="469D755B">
          <wp:extent cx="1109272" cy="36606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1118169" cy="368997"/>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1AC01CC" wp14:editId="5ECDAB80">
              <wp:simplePos x="0" y="0"/>
              <wp:positionH relativeFrom="column">
                <wp:posOffset>-27305</wp:posOffset>
              </wp:positionH>
              <wp:positionV relativeFrom="paragraph">
                <wp:posOffset>367665</wp:posOffset>
              </wp:positionV>
              <wp:extent cx="5666105" cy="0"/>
              <wp:effectExtent l="0" t="0" r="10795" b="19050"/>
              <wp:wrapNone/>
              <wp:docPr id="7" name="7 Conector recto"/>
              <wp:cNvGraphicFramePr/>
              <a:graphic xmlns:a="http://schemas.openxmlformats.org/drawingml/2006/main">
                <a:graphicData uri="http://schemas.microsoft.com/office/word/2010/wordprocessingShape">
                  <wps:wsp>
                    <wps:cNvCnPr/>
                    <wps:spPr>
                      <a:xfrm>
                        <a:off x="0" y="0"/>
                        <a:ext cx="5666105" cy="0"/>
                      </a:xfrm>
                      <a:prstGeom prst="line">
                        <a:avLst/>
                      </a:prstGeom>
                      <a:ln w="12700"/>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454F0DE" id="7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pt,28.95pt" to="44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" strokecolor="#c0504d [3205]"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120317"/>
      <w:docPartObj>
        <w:docPartGallery w:val="Page Numbers (Top of Page)"/>
        <w:docPartUnique/>
      </w:docPartObj>
    </w:sdtPr>
    <w:sdtEndPr/>
    <w:sdtContent>
      <w:p w14:paraId="2E8C54C1" w14:textId="77777777" w:rsidR="001E7EF1" w:rsidRDefault="001E7EF1">
        <w:pPr>
          <w:pStyle w:val="Encabezado"/>
        </w:pPr>
        <w:r>
          <w:fldChar w:fldCharType="begin"/>
        </w:r>
        <w:r>
          <w:instrText>PAGE   \* MERGEFORMAT</w:instrText>
        </w:r>
        <w:r>
          <w:fldChar w:fldCharType="separate"/>
        </w:r>
        <w:r w:rsidR="00F74C62" w:rsidRPr="00F74C62">
          <w:rPr>
            <w:noProof/>
            <w:lang w:val="es-ES"/>
          </w:rPr>
          <w:t>1</w:t>
        </w:r>
        <w:r>
          <w:fldChar w:fldCharType="end"/>
        </w:r>
      </w:p>
    </w:sdtContent>
  </w:sdt>
  <w:p w14:paraId="589C3113" w14:textId="77777777" w:rsidR="001E7EF1" w:rsidRDefault="001E7EF1" w:rsidP="00852D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306"/>
    <w:multiLevelType w:val="hybridMultilevel"/>
    <w:tmpl w:val="53FC6C8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1D4CAF"/>
    <w:multiLevelType w:val="hybridMultilevel"/>
    <w:tmpl w:val="9D0A0E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63A18B1"/>
    <w:multiLevelType w:val="hybridMultilevel"/>
    <w:tmpl w:val="3C389E3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0783679E"/>
    <w:multiLevelType w:val="hybridMultilevel"/>
    <w:tmpl w:val="F1B2FF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E15733"/>
    <w:multiLevelType w:val="hybridMultilevel"/>
    <w:tmpl w:val="F4586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25181A"/>
    <w:multiLevelType w:val="hybridMultilevel"/>
    <w:tmpl w:val="91A4D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AD3255"/>
    <w:multiLevelType w:val="multilevel"/>
    <w:tmpl w:val="5FB64084"/>
    <w:lvl w:ilvl="0">
      <w:start w:val="1"/>
      <w:numFmt w:val="upperRoman"/>
      <w:pStyle w:val="Ttulo1"/>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upperLetter"/>
      <w:pStyle w:val="Ttulo3"/>
      <w:lvlText w:val="%1.%2.%3"/>
      <w:lvlJc w:val="left"/>
      <w:pPr>
        <w:ind w:left="1080" w:hanging="360"/>
      </w:pPr>
      <w:rPr>
        <w:rFonts w:hint="default"/>
      </w:rPr>
    </w:lvl>
    <w:lvl w:ilvl="3">
      <w:start w:val="1"/>
      <w:numFmt w:val="lowerLetter"/>
      <w:pStyle w:val="Ttulo4"/>
      <w:lvlText w:val="%1.%2.%3.%4"/>
      <w:lvlJc w:val="left"/>
      <w:pPr>
        <w:ind w:left="1440" w:hanging="360"/>
      </w:pPr>
      <w:rPr>
        <w:rFonts w:hint="default"/>
      </w:rPr>
    </w:lvl>
    <w:lvl w:ilvl="4">
      <w:start w:val="1"/>
      <w:numFmt w:val="lowerRoman"/>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633F78"/>
    <w:multiLevelType w:val="hybridMultilevel"/>
    <w:tmpl w:val="3D0A217E"/>
    <w:lvl w:ilvl="0" w:tplc="080A0001">
      <w:start w:val="1"/>
      <w:numFmt w:val="bullet"/>
      <w:lvlText w:val=""/>
      <w:lvlJc w:val="left"/>
      <w:pPr>
        <w:tabs>
          <w:tab w:val="num" w:pos="720"/>
        </w:tabs>
        <w:ind w:left="720" w:hanging="360"/>
      </w:pPr>
      <w:rPr>
        <w:rFonts w:ascii="Symbol" w:hAnsi="Symbol" w:hint="default"/>
      </w:rPr>
    </w:lvl>
    <w:lvl w:ilvl="1" w:tplc="B2C840FE">
      <w:start w:val="1"/>
      <w:numFmt w:val="bullet"/>
      <w:lvlText w:val="o"/>
      <w:lvlJc w:val="left"/>
      <w:pPr>
        <w:tabs>
          <w:tab w:val="num" w:pos="1440"/>
        </w:tabs>
        <w:ind w:left="1440" w:hanging="360"/>
      </w:pPr>
      <w:rPr>
        <w:rFonts w:ascii="Courier New" w:hAnsi="Courier New" w:hint="default"/>
      </w:rPr>
    </w:lvl>
    <w:lvl w:ilvl="2" w:tplc="BD2E1C12" w:tentative="1">
      <w:start w:val="1"/>
      <w:numFmt w:val="bullet"/>
      <w:lvlText w:val="o"/>
      <w:lvlJc w:val="left"/>
      <w:pPr>
        <w:tabs>
          <w:tab w:val="num" w:pos="2160"/>
        </w:tabs>
        <w:ind w:left="2160" w:hanging="360"/>
      </w:pPr>
      <w:rPr>
        <w:rFonts w:ascii="Courier New" w:hAnsi="Courier New" w:hint="default"/>
      </w:rPr>
    </w:lvl>
    <w:lvl w:ilvl="3" w:tplc="32F692BE" w:tentative="1">
      <w:start w:val="1"/>
      <w:numFmt w:val="bullet"/>
      <w:lvlText w:val="o"/>
      <w:lvlJc w:val="left"/>
      <w:pPr>
        <w:tabs>
          <w:tab w:val="num" w:pos="2880"/>
        </w:tabs>
        <w:ind w:left="2880" w:hanging="360"/>
      </w:pPr>
      <w:rPr>
        <w:rFonts w:ascii="Courier New" w:hAnsi="Courier New" w:hint="default"/>
      </w:rPr>
    </w:lvl>
    <w:lvl w:ilvl="4" w:tplc="2ACC2284" w:tentative="1">
      <w:start w:val="1"/>
      <w:numFmt w:val="bullet"/>
      <w:lvlText w:val="o"/>
      <w:lvlJc w:val="left"/>
      <w:pPr>
        <w:tabs>
          <w:tab w:val="num" w:pos="3600"/>
        </w:tabs>
        <w:ind w:left="3600" w:hanging="360"/>
      </w:pPr>
      <w:rPr>
        <w:rFonts w:ascii="Courier New" w:hAnsi="Courier New" w:hint="default"/>
      </w:rPr>
    </w:lvl>
    <w:lvl w:ilvl="5" w:tplc="A1A47778" w:tentative="1">
      <w:start w:val="1"/>
      <w:numFmt w:val="bullet"/>
      <w:lvlText w:val="o"/>
      <w:lvlJc w:val="left"/>
      <w:pPr>
        <w:tabs>
          <w:tab w:val="num" w:pos="4320"/>
        </w:tabs>
        <w:ind w:left="4320" w:hanging="360"/>
      </w:pPr>
      <w:rPr>
        <w:rFonts w:ascii="Courier New" w:hAnsi="Courier New" w:hint="default"/>
      </w:rPr>
    </w:lvl>
    <w:lvl w:ilvl="6" w:tplc="CBD8D0BC" w:tentative="1">
      <w:start w:val="1"/>
      <w:numFmt w:val="bullet"/>
      <w:lvlText w:val="o"/>
      <w:lvlJc w:val="left"/>
      <w:pPr>
        <w:tabs>
          <w:tab w:val="num" w:pos="5040"/>
        </w:tabs>
        <w:ind w:left="5040" w:hanging="360"/>
      </w:pPr>
      <w:rPr>
        <w:rFonts w:ascii="Courier New" w:hAnsi="Courier New" w:hint="default"/>
      </w:rPr>
    </w:lvl>
    <w:lvl w:ilvl="7" w:tplc="676861D2" w:tentative="1">
      <w:start w:val="1"/>
      <w:numFmt w:val="bullet"/>
      <w:lvlText w:val="o"/>
      <w:lvlJc w:val="left"/>
      <w:pPr>
        <w:tabs>
          <w:tab w:val="num" w:pos="5760"/>
        </w:tabs>
        <w:ind w:left="5760" w:hanging="360"/>
      </w:pPr>
      <w:rPr>
        <w:rFonts w:ascii="Courier New" w:hAnsi="Courier New" w:hint="default"/>
      </w:rPr>
    </w:lvl>
    <w:lvl w:ilvl="8" w:tplc="2800F232" w:tentative="1">
      <w:start w:val="1"/>
      <w:numFmt w:val="bullet"/>
      <w:lvlText w:val="o"/>
      <w:lvlJc w:val="left"/>
      <w:pPr>
        <w:tabs>
          <w:tab w:val="num" w:pos="6480"/>
        </w:tabs>
        <w:ind w:left="6480" w:hanging="360"/>
      </w:pPr>
      <w:rPr>
        <w:rFonts w:ascii="Courier New" w:hAnsi="Courier New" w:hint="default"/>
      </w:rPr>
    </w:lvl>
  </w:abstractNum>
  <w:abstractNum w:abstractNumId="8">
    <w:nsid w:val="199928C7"/>
    <w:multiLevelType w:val="hybridMultilevel"/>
    <w:tmpl w:val="214CB3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2BF107B5"/>
    <w:multiLevelType w:val="hybridMultilevel"/>
    <w:tmpl w:val="D5B295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8A3511"/>
    <w:multiLevelType w:val="hybridMultilevel"/>
    <w:tmpl w:val="27AE9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C45D6"/>
    <w:multiLevelType w:val="hybridMultilevel"/>
    <w:tmpl w:val="B71E94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AC26387"/>
    <w:multiLevelType w:val="hybridMultilevel"/>
    <w:tmpl w:val="FDB48028"/>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DF4C7C"/>
    <w:multiLevelType w:val="hybridMultilevel"/>
    <w:tmpl w:val="CBAE66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5B20B25"/>
    <w:multiLevelType w:val="hybridMultilevel"/>
    <w:tmpl w:val="8B7472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9882272"/>
    <w:multiLevelType w:val="hybridMultilevel"/>
    <w:tmpl w:val="61D0C352"/>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6">
    <w:nsid w:val="4C7A1FB4"/>
    <w:multiLevelType w:val="hybridMultilevel"/>
    <w:tmpl w:val="03040F5E"/>
    <w:lvl w:ilvl="0" w:tplc="080A0001">
      <w:start w:val="1"/>
      <w:numFmt w:val="bullet"/>
      <w:lvlText w:val=""/>
      <w:lvlJc w:val="left"/>
      <w:pPr>
        <w:tabs>
          <w:tab w:val="num" w:pos="720"/>
        </w:tabs>
        <w:ind w:left="720" w:hanging="360"/>
      </w:pPr>
      <w:rPr>
        <w:rFonts w:ascii="Symbol" w:hAnsi="Symbol" w:hint="default"/>
      </w:rPr>
    </w:lvl>
    <w:lvl w:ilvl="1" w:tplc="3B384A00" w:tentative="1">
      <w:start w:val="1"/>
      <w:numFmt w:val="bullet"/>
      <w:lvlText w:val="•"/>
      <w:lvlJc w:val="left"/>
      <w:pPr>
        <w:tabs>
          <w:tab w:val="num" w:pos="1440"/>
        </w:tabs>
        <w:ind w:left="1440" w:hanging="360"/>
      </w:pPr>
      <w:rPr>
        <w:rFonts w:ascii="Arial" w:hAnsi="Arial" w:hint="default"/>
      </w:rPr>
    </w:lvl>
    <w:lvl w:ilvl="2" w:tplc="325ECC5E" w:tentative="1">
      <w:start w:val="1"/>
      <w:numFmt w:val="bullet"/>
      <w:lvlText w:val="•"/>
      <w:lvlJc w:val="left"/>
      <w:pPr>
        <w:tabs>
          <w:tab w:val="num" w:pos="2160"/>
        </w:tabs>
        <w:ind w:left="2160" w:hanging="360"/>
      </w:pPr>
      <w:rPr>
        <w:rFonts w:ascii="Arial" w:hAnsi="Arial" w:hint="default"/>
      </w:rPr>
    </w:lvl>
    <w:lvl w:ilvl="3" w:tplc="DBA6FB5C" w:tentative="1">
      <w:start w:val="1"/>
      <w:numFmt w:val="bullet"/>
      <w:lvlText w:val="•"/>
      <w:lvlJc w:val="left"/>
      <w:pPr>
        <w:tabs>
          <w:tab w:val="num" w:pos="2880"/>
        </w:tabs>
        <w:ind w:left="2880" w:hanging="360"/>
      </w:pPr>
      <w:rPr>
        <w:rFonts w:ascii="Arial" w:hAnsi="Arial" w:hint="default"/>
      </w:rPr>
    </w:lvl>
    <w:lvl w:ilvl="4" w:tplc="98300602" w:tentative="1">
      <w:start w:val="1"/>
      <w:numFmt w:val="bullet"/>
      <w:lvlText w:val="•"/>
      <w:lvlJc w:val="left"/>
      <w:pPr>
        <w:tabs>
          <w:tab w:val="num" w:pos="3600"/>
        </w:tabs>
        <w:ind w:left="3600" w:hanging="360"/>
      </w:pPr>
      <w:rPr>
        <w:rFonts w:ascii="Arial" w:hAnsi="Arial" w:hint="default"/>
      </w:rPr>
    </w:lvl>
    <w:lvl w:ilvl="5" w:tplc="C1CEAADC" w:tentative="1">
      <w:start w:val="1"/>
      <w:numFmt w:val="bullet"/>
      <w:lvlText w:val="•"/>
      <w:lvlJc w:val="left"/>
      <w:pPr>
        <w:tabs>
          <w:tab w:val="num" w:pos="4320"/>
        </w:tabs>
        <w:ind w:left="4320" w:hanging="360"/>
      </w:pPr>
      <w:rPr>
        <w:rFonts w:ascii="Arial" w:hAnsi="Arial" w:hint="default"/>
      </w:rPr>
    </w:lvl>
    <w:lvl w:ilvl="6" w:tplc="5DB66DDA" w:tentative="1">
      <w:start w:val="1"/>
      <w:numFmt w:val="bullet"/>
      <w:lvlText w:val="•"/>
      <w:lvlJc w:val="left"/>
      <w:pPr>
        <w:tabs>
          <w:tab w:val="num" w:pos="5040"/>
        </w:tabs>
        <w:ind w:left="5040" w:hanging="360"/>
      </w:pPr>
      <w:rPr>
        <w:rFonts w:ascii="Arial" w:hAnsi="Arial" w:hint="default"/>
      </w:rPr>
    </w:lvl>
    <w:lvl w:ilvl="7" w:tplc="D83AE35C" w:tentative="1">
      <w:start w:val="1"/>
      <w:numFmt w:val="bullet"/>
      <w:lvlText w:val="•"/>
      <w:lvlJc w:val="left"/>
      <w:pPr>
        <w:tabs>
          <w:tab w:val="num" w:pos="5760"/>
        </w:tabs>
        <w:ind w:left="5760" w:hanging="360"/>
      </w:pPr>
      <w:rPr>
        <w:rFonts w:ascii="Arial" w:hAnsi="Arial" w:hint="default"/>
      </w:rPr>
    </w:lvl>
    <w:lvl w:ilvl="8" w:tplc="D638CB14" w:tentative="1">
      <w:start w:val="1"/>
      <w:numFmt w:val="bullet"/>
      <w:lvlText w:val="•"/>
      <w:lvlJc w:val="left"/>
      <w:pPr>
        <w:tabs>
          <w:tab w:val="num" w:pos="6480"/>
        </w:tabs>
        <w:ind w:left="6480" w:hanging="360"/>
      </w:pPr>
      <w:rPr>
        <w:rFonts w:ascii="Arial" w:hAnsi="Arial" w:hint="default"/>
      </w:rPr>
    </w:lvl>
  </w:abstractNum>
  <w:abstractNum w:abstractNumId="17">
    <w:nsid w:val="56EB305F"/>
    <w:multiLevelType w:val="hybridMultilevel"/>
    <w:tmpl w:val="F1F005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75D78E3"/>
    <w:multiLevelType w:val="hybridMultilevel"/>
    <w:tmpl w:val="C0C6DFB8"/>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7FAC4A77"/>
    <w:multiLevelType w:val="hybridMultilevel"/>
    <w:tmpl w:val="DBD8A8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17"/>
  </w:num>
  <w:num w:numId="7">
    <w:abstractNumId w:val="14"/>
  </w:num>
  <w:num w:numId="8">
    <w:abstractNumId w:val="19"/>
  </w:num>
  <w:num w:numId="9">
    <w:abstractNumId w:val="7"/>
  </w:num>
  <w:num w:numId="10">
    <w:abstractNumId w:val="16"/>
  </w:num>
  <w:num w:numId="11">
    <w:abstractNumId w:val="4"/>
  </w:num>
  <w:num w:numId="12">
    <w:abstractNumId w:val="0"/>
  </w:num>
  <w:num w:numId="13">
    <w:abstractNumId w:val="5"/>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15"/>
  </w:num>
  <w:num w:numId="19">
    <w:abstractNumId w:val="2"/>
  </w:num>
  <w:num w:numId="20">
    <w:abstractNumId w:val="8"/>
  </w:num>
  <w:num w:numId="21">
    <w:abstractNumId w:val="11"/>
  </w:num>
  <w:num w:numId="22">
    <w:abstractNumId w:val="18"/>
  </w:num>
  <w:num w:numId="23">
    <w:abstractNumId w:val="9"/>
  </w:num>
  <w:num w:numId="24">
    <w:abstractNumId w:val="3"/>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AA"/>
    <w:rsid w:val="00002A81"/>
    <w:rsid w:val="00003935"/>
    <w:rsid w:val="00003A0E"/>
    <w:rsid w:val="00003DE5"/>
    <w:rsid w:val="00005B3D"/>
    <w:rsid w:val="00006BDF"/>
    <w:rsid w:val="000076F8"/>
    <w:rsid w:val="00011102"/>
    <w:rsid w:val="000112D3"/>
    <w:rsid w:val="00013DBE"/>
    <w:rsid w:val="00017DCB"/>
    <w:rsid w:val="000221ED"/>
    <w:rsid w:val="00022854"/>
    <w:rsid w:val="00022E21"/>
    <w:rsid w:val="00023A0C"/>
    <w:rsid w:val="00026E01"/>
    <w:rsid w:val="00027110"/>
    <w:rsid w:val="00027169"/>
    <w:rsid w:val="000306AF"/>
    <w:rsid w:val="0003762E"/>
    <w:rsid w:val="00043ACB"/>
    <w:rsid w:val="0004434F"/>
    <w:rsid w:val="0004598B"/>
    <w:rsid w:val="00045D8A"/>
    <w:rsid w:val="0004720B"/>
    <w:rsid w:val="00052438"/>
    <w:rsid w:val="00053B13"/>
    <w:rsid w:val="0005466F"/>
    <w:rsid w:val="00054E16"/>
    <w:rsid w:val="000560E7"/>
    <w:rsid w:val="00056F65"/>
    <w:rsid w:val="00057628"/>
    <w:rsid w:val="00060171"/>
    <w:rsid w:val="0006020C"/>
    <w:rsid w:val="0006028D"/>
    <w:rsid w:val="000605C8"/>
    <w:rsid w:val="00061C13"/>
    <w:rsid w:val="000631AC"/>
    <w:rsid w:val="00063E75"/>
    <w:rsid w:val="00070899"/>
    <w:rsid w:val="00070C67"/>
    <w:rsid w:val="00071619"/>
    <w:rsid w:val="00074AB8"/>
    <w:rsid w:val="00076398"/>
    <w:rsid w:val="00077ED6"/>
    <w:rsid w:val="00081AF4"/>
    <w:rsid w:val="00085D5A"/>
    <w:rsid w:val="00086A2B"/>
    <w:rsid w:val="000946E0"/>
    <w:rsid w:val="000A15F8"/>
    <w:rsid w:val="000A4EC1"/>
    <w:rsid w:val="000A5185"/>
    <w:rsid w:val="000A520C"/>
    <w:rsid w:val="000A6000"/>
    <w:rsid w:val="000A6825"/>
    <w:rsid w:val="000A7FB0"/>
    <w:rsid w:val="000B1824"/>
    <w:rsid w:val="000B2E01"/>
    <w:rsid w:val="000B3A9A"/>
    <w:rsid w:val="000B5A74"/>
    <w:rsid w:val="000B5F2A"/>
    <w:rsid w:val="000B7707"/>
    <w:rsid w:val="000B7D70"/>
    <w:rsid w:val="000C2ADA"/>
    <w:rsid w:val="000C32A9"/>
    <w:rsid w:val="000C587B"/>
    <w:rsid w:val="000C6AF1"/>
    <w:rsid w:val="000C70B5"/>
    <w:rsid w:val="000C7BCE"/>
    <w:rsid w:val="000D4900"/>
    <w:rsid w:val="000D5A27"/>
    <w:rsid w:val="000D5F91"/>
    <w:rsid w:val="000E2408"/>
    <w:rsid w:val="000E2EBD"/>
    <w:rsid w:val="000E3CBE"/>
    <w:rsid w:val="000E4572"/>
    <w:rsid w:val="000E4BE8"/>
    <w:rsid w:val="000E631B"/>
    <w:rsid w:val="000F055A"/>
    <w:rsid w:val="000F2200"/>
    <w:rsid w:val="000F40FA"/>
    <w:rsid w:val="000F5225"/>
    <w:rsid w:val="000F5872"/>
    <w:rsid w:val="000F6BFF"/>
    <w:rsid w:val="000F72EB"/>
    <w:rsid w:val="00102584"/>
    <w:rsid w:val="00104045"/>
    <w:rsid w:val="001051C3"/>
    <w:rsid w:val="00107805"/>
    <w:rsid w:val="00107859"/>
    <w:rsid w:val="0011163E"/>
    <w:rsid w:val="0011339B"/>
    <w:rsid w:val="00115B88"/>
    <w:rsid w:val="00116F34"/>
    <w:rsid w:val="00120165"/>
    <w:rsid w:val="00123F5F"/>
    <w:rsid w:val="001240D7"/>
    <w:rsid w:val="00125705"/>
    <w:rsid w:val="00125C22"/>
    <w:rsid w:val="0012629E"/>
    <w:rsid w:val="00127A84"/>
    <w:rsid w:val="001300AC"/>
    <w:rsid w:val="00130933"/>
    <w:rsid w:val="0013330A"/>
    <w:rsid w:val="00133693"/>
    <w:rsid w:val="00135477"/>
    <w:rsid w:val="00135484"/>
    <w:rsid w:val="00135E0F"/>
    <w:rsid w:val="00140333"/>
    <w:rsid w:val="00142387"/>
    <w:rsid w:val="001434FF"/>
    <w:rsid w:val="001439E4"/>
    <w:rsid w:val="00143E3A"/>
    <w:rsid w:val="001471BB"/>
    <w:rsid w:val="001479D3"/>
    <w:rsid w:val="00147FF3"/>
    <w:rsid w:val="001511A7"/>
    <w:rsid w:val="0015160E"/>
    <w:rsid w:val="0015226D"/>
    <w:rsid w:val="0015509F"/>
    <w:rsid w:val="00155791"/>
    <w:rsid w:val="00155CEE"/>
    <w:rsid w:val="00157870"/>
    <w:rsid w:val="00157F20"/>
    <w:rsid w:val="00163846"/>
    <w:rsid w:val="001651FB"/>
    <w:rsid w:val="0016630F"/>
    <w:rsid w:val="00166579"/>
    <w:rsid w:val="00166853"/>
    <w:rsid w:val="00171031"/>
    <w:rsid w:val="00171D3C"/>
    <w:rsid w:val="00176289"/>
    <w:rsid w:val="0018156B"/>
    <w:rsid w:val="00181A5D"/>
    <w:rsid w:val="001836BA"/>
    <w:rsid w:val="0018412F"/>
    <w:rsid w:val="0018747E"/>
    <w:rsid w:val="0018761E"/>
    <w:rsid w:val="00187674"/>
    <w:rsid w:val="0019278B"/>
    <w:rsid w:val="00193003"/>
    <w:rsid w:val="001952EC"/>
    <w:rsid w:val="00195F3E"/>
    <w:rsid w:val="001A349E"/>
    <w:rsid w:val="001A3ED0"/>
    <w:rsid w:val="001A6049"/>
    <w:rsid w:val="001B0130"/>
    <w:rsid w:val="001B05D8"/>
    <w:rsid w:val="001B0FDC"/>
    <w:rsid w:val="001B49BF"/>
    <w:rsid w:val="001C01B6"/>
    <w:rsid w:val="001C0D39"/>
    <w:rsid w:val="001C2F3C"/>
    <w:rsid w:val="001C3127"/>
    <w:rsid w:val="001C58E0"/>
    <w:rsid w:val="001C7D2E"/>
    <w:rsid w:val="001D0099"/>
    <w:rsid w:val="001D04F9"/>
    <w:rsid w:val="001D24E2"/>
    <w:rsid w:val="001D2EBA"/>
    <w:rsid w:val="001D3C0E"/>
    <w:rsid w:val="001D5372"/>
    <w:rsid w:val="001E0D97"/>
    <w:rsid w:val="001E18DD"/>
    <w:rsid w:val="001E75EE"/>
    <w:rsid w:val="001E7EF1"/>
    <w:rsid w:val="001F03DC"/>
    <w:rsid w:val="001F0C1C"/>
    <w:rsid w:val="001F0C50"/>
    <w:rsid w:val="001F0F54"/>
    <w:rsid w:val="001F31DA"/>
    <w:rsid w:val="001F54BE"/>
    <w:rsid w:val="001F5971"/>
    <w:rsid w:val="001F66AB"/>
    <w:rsid w:val="001F754C"/>
    <w:rsid w:val="001F7C3B"/>
    <w:rsid w:val="001F7ECD"/>
    <w:rsid w:val="00201734"/>
    <w:rsid w:val="0020386D"/>
    <w:rsid w:val="002046B5"/>
    <w:rsid w:val="00206657"/>
    <w:rsid w:val="002104C5"/>
    <w:rsid w:val="00212D06"/>
    <w:rsid w:val="00221C42"/>
    <w:rsid w:val="002224E7"/>
    <w:rsid w:val="002230B1"/>
    <w:rsid w:val="002237F3"/>
    <w:rsid w:val="00223EA3"/>
    <w:rsid w:val="002245F0"/>
    <w:rsid w:val="0022526F"/>
    <w:rsid w:val="00226D98"/>
    <w:rsid w:val="00227098"/>
    <w:rsid w:val="00227995"/>
    <w:rsid w:val="00232D50"/>
    <w:rsid w:val="00234BCE"/>
    <w:rsid w:val="00235313"/>
    <w:rsid w:val="002373A1"/>
    <w:rsid w:val="0024086F"/>
    <w:rsid w:val="002432CB"/>
    <w:rsid w:val="0024543F"/>
    <w:rsid w:val="00245DB1"/>
    <w:rsid w:val="002516C8"/>
    <w:rsid w:val="002529D4"/>
    <w:rsid w:val="002535D1"/>
    <w:rsid w:val="002547EF"/>
    <w:rsid w:val="00255230"/>
    <w:rsid w:val="00255410"/>
    <w:rsid w:val="0025612E"/>
    <w:rsid w:val="00257A28"/>
    <w:rsid w:val="00261A86"/>
    <w:rsid w:val="00263081"/>
    <w:rsid w:val="00265D1E"/>
    <w:rsid w:val="002673F8"/>
    <w:rsid w:val="00267988"/>
    <w:rsid w:val="0027008C"/>
    <w:rsid w:val="002715A9"/>
    <w:rsid w:val="00273C94"/>
    <w:rsid w:val="002769B9"/>
    <w:rsid w:val="00277087"/>
    <w:rsid w:val="002778A1"/>
    <w:rsid w:val="00280F6D"/>
    <w:rsid w:val="00281AC1"/>
    <w:rsid w:val="00284124"/>
    <w:rsid w:val="002842AC"/>
    <w:rsid w:val="0028642E"/>
    <w:rsid w:val="00292A4B"/>
    <w:rsid w:val="00294308"/>
    <w:rsid w:val="002979FF"/>
    <w:rsid w:val="00297AD6"/>
    <w:rsid w:val="00297C05"/>
    <w:rsid w:val="002A12C5"/>
    <w:rsid w:val="002A3056"/>
    <w:rsid w:val="002A4583"/>
    <w:rsid w:val="002A4C9D"/>
    <w:rsid w:val="002A56ED"/>
    <w:rsid w:val="002A7153"/>
    <w:rsid w:val="002B02ED"/>
    <w:rsid w:val="002B3515"/>
    <w:rsid w:val="002B5995"/>
    <w:rsid w:val="002B6EF7"/>
    <w:rsid w:val="002B6F6E"/>
    <w:rsid w:val="002C0A9C"/>
    <w:rsid w:val="002C0AD4"/>
    <w:rsid w:val="002C1DFE"/>
    <w:rsid w:val="002C3E6D"/>
    <w:rsid w:val="002C5521"/>
    <w:rsid w:val="002C7ECD"/>
    <w:rsid w:val="002D0A7E"/>
    <w:rsid w:val="002D1E3D"/>
    <w:rsid w:val="002D530B"/>
    <w:rsid w:val="002D5D4A"/>
    <w:rsid w:val="002D632C"/>
    <w:rsid w:val="002D70D5"/>
    <w:rsid w:val="002E1228"/>
    <w:rsid w:val="002E2FA0"/>
    <w:rsid w:val="002E363B"/>
    <w:rsid w:val="002E4487"/>
    <w:rsid w:val="002E6DAC"/>
    <w:rsid w:val="002F1E09"/>
    <w:rsid w:val="002F416D"/>
    <w:rsid w:val="002F41EB"/>
    <w:rsid w:val="002F431E"/>
    <w:rsid w:val="002F4938"/>
    <w:rsid w:val="002F70A5"/>
    <w:rsid w:val="00300F50"/>
    <w:rsid w:val="00301787"/>
    <w:rsid w:val="00301DA5"/>
    <w:rsid w:val="0030241C"/>
    <w:rsid w:val="00303770"/>
    <w:rsid w:val="00304D4C"/>
    <w:rsid w:val="003070AA"/>
    <w:rsid w:val="00307A46"/>
    <w:rsid w:val="00311113"/>
    <w:rsid w:val="00312980"/>
    <w:rsid w:val="00313B38"/>
    <w:rsid w:val="0031631D"/>
    <w:rsid w:val="00316D6A"/>
    <w:rsid w:val="003207FC"/>
    <w:rsid w:val="0032186C"/>
    <w:rsid w:val="003246BA"/>
    <w:rsid w:val="003269A9"/>
    <w:rsid w:val="003278E9"/>
    <w:rsid w:val="00330532"/>
    <w:rsid w:val="00335DA4"/>
    <w:rsid w:val="00336B07"/>
    <w:rsid w:val="0034002E"/>
    <w:rsid w:val="00344E28"/>
    <w:rsid w:val="0034720C"/>
    <w:rsid w:val="00350DF4"/>
    <w:rsid w:val="00352A97"/>
    <w:rsid w:val="003544F0"/>
    <w:rsid w:val="00355A56"/>
    <w:rsid w:val="0035630B"/>
    <w:rsid w:val="00361286"/>
    <w:rsid w:val="00361E88"/>
    <w:rsid w:val="0036380F"/>
    <w:rsid w:val="00363EE8"/>
    <w:rsid w:val="00365E59"/>
    <w:rsid w:val="0036641D"/>
    <w:rsid w:val="00366D15"/>
    <w:rsid w:val="00367404"/>
    <w:rsid w:val="00373A19"/>
    <w:rsid w:val="00374AFC"/>
    <w:rsid w:val="0037613E"/>
    <w:rsid w:val="00381FC6"/>
    <w:rsid w:val="00383325"/>
    <w:rsid w:val="00391C66"/>
    <w:rsid w:val="00391FFD"/>
    <w:rsid w:val="003928D1"/>
    <w:rsid w:val="00394862"/>
    <w:rsid w:val="00394C31"/>
    <w:rsid w:val="00394FE1"/>
    <w:rsid w:val="00395476"/>
    <w:rsid w:val="0039738E"/>
    <w:rsid w:val="003977A1"/>
    <w:rsid w:val="003A32CF"/>
    <w:rsid w:val="003A5EC7"/>
    <w:rsid w:val="003A7D34"/>
    <w:rsid w:val="003B1646"/>
    <w:rsid w:val="003B4D06"/>
    <w:rsid w:val="003B5A06"/>
    <w:rsid w:val="003B7A76"/>
    <w:rsid w:val="003C1E69"/>
    <w:rsid w:val="003C202E"/>
    <w:rsid w:val="003C72A4"/>
    <w:rsid w:val="003D0A4C"/>
    <w:rsid w:val="003D0D2D"/>
    <w:rsid w:val="003D2FB5"/>
    <w:rsid w:val="003D3022"/>
    <w:rsid w:val="003D7F6A"/>
    <w:rsid w:val="003E2CC5"/>
    <w:rsid w:val="003E42FD"/>
    <w:rsid w:val="003E43B6"/>
    <w:rsid w:val="003E478A"/>
    <w:rsid w:val="003E67E6"/>
    <w:rsid w:val="003E6FB3"/>
    <w:rsid w:val="003E78B1"/>
    <w:rsid w:val="003E7925"/>
    <w:rsid w:val="003F1054"/>
    <w:rsid w:val="003F16FF"/>
    <w:rsid w:val="003F35A3"/>
    <w:rsid w:val="003F5587"/>
    <w:rsid w:val="003F589B"/>
    <w:rsid w:val="003F5DC2"/>
    <w:rsid w:val="00401212"/>
    <w:rsid w:val="00403B0A"/>
    <w:rsid w:val="00403F44"/>
    <w:rsid w:val="004041F1"/>
    <w:rsid w:val="004056B7"/>
    <w:rsid w:val="00407CD3"/>
    <w:rsid w:val="00410DD8"/>
    <w:rsid w:val="00413BCC"/>
    <w:rsid w:val="00414196"/>
    <w:rsid w:val="00414D83"/>
    <w:rsid w:val="00415188"/>
    <w:rsid w:val="0042167E"/>
    <w:rsid w:val="004227BF"/>
    <w:rsid w:val="00422B6C"/>
    <w:rsid w:val="00422D13"/>
    <w:rsid w:val="004239A0"/>
    <w:rsid w:val="00424DD2"/>
    <w:rsid w:val="0042515A"/>
    <w:rsid w:val="004267BB"/>
    <w:rsid w:val="0043000C"/>
    <w:rsid w:val="00432C9C"/>
    <w:rsid w:val="00434744"/>
    <w:rsid w:val="00437F45"/>
    <w:rsid w:val="00440CC4"/>
    <w:rsid w:val="004434BD"/>
    <w:rsid w:val="004442C4"/>
    <w:rsid w:val="00445122"/>
    <w:rsid w:val="00445261"/>
    <w:rsid w:val="00446840"/>
    <w:rsid w:val="0045073E"/>
    <w:rsid w:val="00451CC0"/>
    <w:rsid w:val="00451CD0"/>
    <w:rsid w:val="0045369C"/>
    <w:rsid w:val="00454B40"/>
    <w:rsid w:val="00456B54"/>
    <w:rsid w:val="00457C6D"/>
    <w:rsid w:val="00460E22"/>
    <w:rsid w:val="004617DC"/>
    <w:rsid w:val="00464163"/>
    <w:rsid w:val="00465510"/>
    <w:rsid w:val="00471497"/>
    <w:rsid w:val="004715E4"/>
    <w:rsid w:val="00471D68"/>
    <w:rsid w:val="00472DD6"/>
    <w:rsid w:val="00473253"/>
    <w:rsid w:val="00473A10"/>
    <w:rsid w:val="004760F7"/>
    <w:rsid w:val="0047691F"/>
    <w:rsid w:val="00485B25"/>
    <w:rsid w:val="00486A18"/>
    <w:rsid w:val="004911BD"/>
    <w:rsid w:val="00493DC4"/>
    <w:rsid w:val="004978D6"/>
    <w:rsid w:val="004A02AD"/>
    <w:rsid w:val="004A314A"/>
    <w:rsid w:val="004A4804"/>
    <w:rsid w:val="004A6D45"/>
    <w:rsid w:val="004A797E"/>
    <w:rsid w:val="004B6F93"/>
    <w:rsid w:val="004B7294"/>
    <w:rsid w:val="004C1EB0"/>
    <w:rsid w:val="004C369F"/>
    <w:rsid w:val="004C4534"/>
    <w:rsid w:val="004C6DAD"/>
    <w:rsid w:val="004C77D6"/>
    <w:rsid w:val="004C7953"/>
    <w:rsid w:val="004D06FE"/>
    <w:rsid w:val="004D24F9"/>
    <w:rsid w:val="004D3659"/>
    <w:rsid w:val="004D48A0"/>
    <w:rsid w:val="004D6BFA"/>
    <w:rsid w:val="004E7907"/>
    <w:rsid w:val="004E7AE7"/>
    <w:rsid w:val="004E7F67"/>
    <w:rsid w:val="004F1FA5"/>
    <w:rsid w:val="004F3A32"/>
    <w:rsid w:val="004F3C1C"/>
    <w:rsid w:val="004F3D68"/>
    <w:rsid w:val="00502D82"/>
    <w:rsid w:val="0050623C"/>
    <w:rsid w:val="00506302"/>
    <w:rsid w:val="00507896"/>
    <w:rsid w:val="00507A56"/>
    <w:rsid w:val="005105D5"/>
    <w:rsid w:val="00510893"/>
    <w:rsid w:val="00510A7F"/>
    <w:rsid w:val="005126A3"/>
    <w:rsid w:val="00513510"/>
    <w:rsid w:val="0051698E"/>
    <w:rsid w:val="00516E70"/>
    <w:rsid w:val="00520239"/>
    <w:rsid w:val="0052075B"/>
    <w:rsid w:val="00524175"/>
    <w:rsid w:val="00527387"/>
    <w:rsid w:val="00527E82"/>
    <w:rsid w:val="005307D9"/>
    <w:rsid w:val="0053182B"/>
    <w:rsid w:val="0053207F"/>
    <w:rsid w:val="005345EB"/>
    <w:rsid w:val="00534A95"/>
    <w:rsid w:val="00537DED"/>
    <w:rsid w:val="00541255"/>
    <w:rsid w:val="005422F0"/>
    <w:rsid w:val="00542902"/>
    <w:rsid w:val="005460C0"/>
    <w:rsid w:val="00546AAE"/>
    <w:rsid w:val="005506CC"/>
    <w:rsid w:val="00555293"/>
    <w:rsid w:val="0055600D"/>
    <w:rsid w:val="00560D72"/>
    <w:rsid w:val="005621DA"/>
    <w:rsid w:val="00563A65"/>
    <w:rsid w:val="00571D3B"/>
    <w:rsid w:val="00573FA5"/>
    <w:rsid w:val="00574468"/>
    <w:rsid w:val="005748A4"/>
    <w:rsid w:val="00574B22"/>
    <w:rsid w:val="005757A6"/>
    <w:rsid w:val="00577386"/>
    <w:rsid w:val="005773D1"/>
    <w:rsid w:val="00577A2A"/>
    <w:rsid w:val="00577A4C"/>
    <w:rsid w:val="0058042D"/>
    <w:rsid w:val="00580820"/>
    <w:rsid w:val="00581037"/>
    <w:rsid w:val="00582D30"/>
    <w:rsid w:val="00584FF8"/>
    <w:rsid w:val="0058510A"/>
    <w:rsid w:val="0058766F"/>
    <w:rsid w:val="00587760"/>
    <w:rsid w:val="00587F13"/>
    <w:rsid w:val="00590041"/>
    <w:rsid w:val="00591FAF"/>
    <w:rsid w:val="005959B4"/>
    <w:rsid w:val="00596263"/>
    <w:rsid w:val="005975AD"/>
    <w:rsid w:val="005A2688"/>
    <w:rsid w:val="005A302D"/>
    <w:rsid w:val="005B1AAC"/>
    <w:rsid w:val="005B2612"/>
    <w:rsid w:val="005B4664"/>
    <w:rsid w:val="005B5765"/>
    <w:rsid w:val="005B7594"/>
    <w:rsid w:val="005B7C20"/>
    <w:rsid w:val="005C0714"/>
    <w:rsid w:val="005C16AF"/>
    <w:rsid w:val="005C2C4C"/>
    <w:rsid w:val="005D1C13"/>
    <w:rsid w:val="005D33C6"/>
    <w:rsid w:val="005D5926"/>
    <w:rsid w:val="005D6E69"/>
    <w:rsid w:val="005E0BD7"/>
    <w:rsid w:val="005E1643"/>
    <w:rsid w:val="005E18CF"/>
    <w:rsid w:val="005E47CE"/>
    <w:rsid w:val="005E6FEF"/>
    <w:rsid w:val="005E7525"/>
    <w:rsid w:val="005E7EB9"/>
    <w:rsid w:val="005F0866"/>
    <w:rsid w:val="005F11CF"/>
    <w:rsid w:val="00600A9B"/>
    <w:rsid w:val="0060143E"/>
    <w:rsid w:val="006027CC"/>
    <w:rsid w:val="0061141A"/>
    <w:rsid w:val="00611D20"/>
    <w:rsid w:val="006121A7"/>
    <w:rsid w:val="00615148"/>
    <w:rsid w:val="0061552A"/>
    <w:rsid w:val="00615A12"/>
    <w:rsid w:val="0061618A"/>
    <w:rsid w:val="00617BD1"/>
    <w:rsid w:val="0062522F"/>
    <w:rsid w:val="006266FD"/>
    <w:rsid w:val="00630E2E"/>
    <w:rsid w:val="00630F42"/>
    <w:rsid w:val="006322C0"/>
    <w:rsid w:val="006329C0"/>
    <w:rsid w:val="006343AF"/>
    <w:rsid w:val="00635DB0"/>
    <w:rsid w:val="00635EB2"/>
    <w:rsid w:val="00640183"/>
    <w:rsid w:val="00641BB3"/>
    <w:rsid w:val="00644A1E"/>
    <w:rsid w:val="00644F9C"/>
    <w:rsid w:val="00645AE8"/>
    <w:rsid w:val="00646469"/>
    <w:rsid w:val="0064654F"/>
    <w:rsid w:val="00650884"/>
    <w:rsid w:val="00651A71"/>
    <w:rsid w:val="006533EE"/>
    <w:rsid w:val="006556ED"/>
    <w:rsid w:val="00660CAA"/>
    <w:rsid w:val="00661A6D"/>
    <w:rsid w:val="00662C5F"/>
    <w:rsid w:val="00662E77"/>
    <w:rsid w:val="006661FA"/>
    <w:rsid w:val="00667F4F"/>
    <w:rsid w:val="00670F32"/>
    <w:rsid w:val="00671533"/>
    <w:rsid w:val="00673430"/>
    <w:rsid w:val="00674B96"/>
    <w:rsid w:val="0067718B"/>
    <w:rsid w:val="006771E8"/>
    <w:rsid w:val="0068160F"/>
    <w:rsid w:val="00681D90"/>
    <w:rsid w:val="00682FCB"/>
    <w:rsid w:val="00685D08"/>
    <w:rsid w:val="00686B51"/>
    <w:rsid w:val="00687F40"/>
    <w:rsid w:val="0069081F"/>
    <w:rsid w:val="0069131B"/>
    <w:rsid w:val="00691560"/>
    <w:rsid w:val="006940C7"/>
    <w:rsid w:val="006947AE"/>
    <w:rsid w:val="0069766B"/>
    <w:rsid w:val="006A442C"/>
    <w:rsid w:val="006A566C"/>
    <w:rsid w:val="006B2691"/>
    <w:rsid w:val="006B2921"/>
    <w:rsid w:val="006B2965"/>
    <w:rsid w:val="006B36D8"/>
    <w:rsid w:val="006B48D8"/>
    <w:rsid w:val="006B5296"/>
    <w:rsid w:val="006B7976"/>
    <w:rsid w:val="006C0B3C"/>
    <w:rsid w:val="006C38BD"/>
    <w:rsid w:val="006C435E"/>
    <w:rsid w:val="006C5A5D"/>
    <w:rsid w:val="006C72CA"/>
    <w:rsid w:val="006D0DBD"/>
    <w:rsid w:val="006D3AE1"/>
    <w:rsid w:val="006E1310"/>
    <w:rsid w:val="006E321A"/>
    <w:rsid w:val="006E3470"/>
    <w:rsid w:val="006E3D6C"/>
    <w:rsid w:val="006E418A"/>
    <w:rsid w:val="006E4B11"/>
    <w:rsid w:val="006E69E4"/>
    <w:rsid w:val="006F04A5"/>
    <w:rsid w:val="006F1B37"/>
    <w:rsid w:val="006F66CD"/>
    <w:rsid w:val="007014DC"/>
    <w:rsid w:val="007014F5"/>
    <w:rsid w:val="007026EE"/>
    <w:rsid w:val="00702C08"/>
    <w:rsid w:val="0070304B"/>
    <w:rsid w:val="00704E7E"/>
    <w:rsid w:val="00704FC8"/>
    <w:rsid w:val="00706B25"/>
    <w:rsid w:val="00706C88"/>
    <w:rsid w:val="0071289C"/>
    <w:rsid w:val="007129B4"/>
    <w:rsid w:val="00713A9C"/>
    <w:rsid w:val="00716EA3"/>
    <w:rsid w:val="00717586"/>
    <w:rsid w:val="0071789E"/>
    <w:rsid w:val="00721F7E"/>
    <w:rsid w:val="00722172"/>
    <w:rsid w:val="0072296E"/>
    <w:rsid w:val="007261A7"/>
    <w:rsid w:val="00730F38"/>
    <w:rsid w:val="00731218"/>
    <w:rsid w:val="00732604"/>
    <w:rsid w:val="007326AB"/>
    <w:rsid w:val="00735076"/>
    <w:rsid w:val="007355A1"/>
    <w:rsid w:val="0073569A"/>
    <w:rsid w:val="00735E37"/>
    <w:rsid w:val="00737D39"/>
    <w:rsid w:val="007413DB"/>
    <w:rsid w:val="00744789"/>
    <w:rsid w:val="0074627F"/>
    <w:rsid w:val="00746AC7"/>
    <w:rsid w:val="0075079D"/>
    <w:rsid w:val="00754399"/>
    <w:rsid w:val="00757173"/>
    <w:rsid w:val="00764950"/>
    <w:rsid w:val="00765BB4"/>
    <w:rsid w:val="00766280"/>
    <w:rsid w:val="00767EA5"/>
    <w:rsid w:val="00767FE4"/>
    <w:rsid w:val="00770437"/>
    <w:rsid w:val="007705A9"/>
    <w:rsid w:val="0077269E"/>
    <w:rsid w:val="00773021"/>
    <w:rsid w:val="00780177"/>
    <w:rsid w:val="007818D0"/>
    <w:rsid w:val="007836A2"/>
    <w:rsid w:val="007839FB"/>
    <w:rsid w:val="00783B0E"/>
    <w:rsid w:val="00787EF4"/>
    <w:rsid w:val="00792AEE"/>
    <w:rsid w:val="00793190"/>
    <w:rsid w:val="00795FA4"/>
    <w:rsid w:val="007A0D21"/>
    <w:rsid w:val="007A0D87"/>
    <w:rsid w:val="007A2557"/>
    <w:rsid w:val="007A30E0"/>
    <w:rsid w:val="007A3890"/>
    <w:rsid w:val="007A39DF"/>
    <w:rsid w:val="007B0E41"/>
    <w:rsid w:val="007B1250"/>
    <w:rsid w:val="007B1498"/>
    <w:rsid w:val="007B1BF3"/>
    <w:rsid w:val="007B21CB"/>
    <w:rsid w:val="007B27AB"/>
    <w:rsid w:val="007B4102"/>
    <w:rsid w:val="007B6451"/>
    <w:rsid w:val="007C14A8"/>
    <w:rsid w:val="007C288F"/>
    <w:rsid w:val="007C362E"/>
    <w:rsid w:val="007C4759"/>
    <w:rsid w:val="007C533F"/>
    <w:rsid w:val="007C5AA2"/>
    <w:rsid w:val="007D12D2"/>
    <w:rsid w:val="007D18CA"/>
    <w:rsid w:val="007D2F23"/>
    <w:rsid w:val="007D3CD0"/>
    <w:rsid w:val="007D5F1F"/>
    <w:rsid w:val="007D6E34"/>
    <w:rsid w:val="007D78F9"/>
    <w:rsid w:val="007D7A02"/>
    <w:rsid w:val="007E5280"/>
    <w:rsid w:val="007E61BF"/>
    <w:rsid w:val="007F0B3F"/>
    <w:rsid w:val="007F108E"/>
    <w:rsid w:val="007F12D2"/>
    <w:rsid w:val="007F1404"/>
    <w:rsid w:val="007F23FD"/>
    <w:rsid w:val="007F2E49"/>
    <w:rsid w:val="007F5540"/>
    <w:rsid w:val="007F64C4"/>
    <w:rsid w:val="007F6CC3"/>
    <w:rsid w:val="007F744D"/>
    <w:rsid w:val="00801361"/>
    <w:rsid w:val="00803C11"/>
    <w:rsid w:val="008046C0"/>
    <w:rsid w:val="008048A3"/>
    <w:rsid w:val="008051ED"/>
    <w:rsid w:val="00805A6B"/>
    <w:rsid w:val="00805F5B"/>
    <w:rsid w:val="00806446"/>
    <w:rsid w:val="00806825"/>
    <w:rsid w:val="0081217F"/>
    <w:rsid w:val="00812670"/>
    <w:rsid w:val="00813C03"/>
    <w:rsid w:val="00814E35"/>
    <w:rsid w:val="00816D9B"/>
    <w:rsid w:val="0082110F"/>
    <w:rsid w:val="00821292"/>
    <w:rsid w:val="00822A59"/>
    <w:rsid w:val="00823215"/>
    <w:rsid w:val="008244AB"/>
    <w:rsid w:val="008251E4"/>
    <w:rsid w:val="008252B8"/>
    <w:rsid w:val="00825F51"/>
    <w:rsid w:val="00830DDD"/>
    <w:rsid w:val="0083452E"/>
    <w:rsid w:val="00835431"/>
    <w:rsid w:val="00836215"/>
    <w:rsid w:val="00837E21"/>
    <w:rsid w:val="00837E8F"/>
    <w:rsid w:val="00840091"/>
    <w:rsid w:val="0084097C"/>
    <w:rsid w:val="0084254A"/>
    <w:rsid w:val="0084271C"/>
    <w:rsid w:val="00844BA5"/>
    <w:rsid w:val="00844E7E"/>
    <w:rsid w:val="0084513C"/>
    <w:rsid w:val="00845A1F"/>
    <w:rsid w:val="00850D6B"/>
    <w:rsid w:val="0085192A"/>
    <w:rsid w:val="00851BB0"/>
    <w:rsid w:val="00851BF7"/>
    <w:rsid w:val="0085222C"/>
    <w:rsid w:val="00852D19"/>
    <w:rsid w:val="00853AF8"/>
    <w:rsid w:val="008569E8"/>
    <w:rsid w:val="0086076B"/>
    <w:rsid w:val="008611C6"/>
    <w:rsid w:val="00862E8D"/>
    <w:rsid w:val="008635D0"/>
    <w:rsid w:val="008645A2"/>
    <w:rsid w:val="00864C62"/>
    <w:rsid w:val="00866B7F"/>
    <w:rsid w:val="008674AF"/>
    <w:rsid w:val="00867558"/>
    <w:rsid w:val="00871C38"/>
    <w:rsid w:val="00871CF3"/>
    <w:rsid w:val="00872B0B"/>
    <w:rsid w:val="00872F3E"/>
    <w:rsid w:val="0087763E"/>
    <w:rsid w:val="008801AE"/>
    <w:rsid w:val="0088299A"/>
    <w:rsid w:val="00883EC4"/>
    <w:rsid w:val="00884587"/>
    <w:rsid w:val="00884E74"/>
    <w:rsid w:val="008876E7"/>
    <w:rsid w:val="00887829"/>
    <w:rsid w:val="00891BA0"/>
    <w:rsid w:val="00895903"/>
    <w:rsid w:val="00896C30"/>
    <w:rsid w:val="008A0B28"/>
    <w:rsid w:val="008A321A"/>
    <w:rsid w:val="008A617D"/>
    <w:rsid w:val="008A7863"/>
    <w:rsid w:val="008B022D"/>
    <w:rsid w:val="008B1E75"/>
    <w:rsid w:val="008B3CC8"/>
    <w:rsid w:val="008B4C2B"/>
    <w:rsid w:val="008B628A"/>
    <w:rsid w:val="008B7FCF"/>
    <w:rsid w:val="008C0D7B"/>
    <w:rsid w:val="008C283F"/>
    <w:rsid w:val="008C3FDB"/>
    <w:rsid w:val="008C5BD7"/>
    <w:rsid w:val="008C6CB0"/>
    <w:rsid w:val="008C6CE3"/>
    <w:rsid w:val="008C712B"/>
    <w:rsid w:val="008C7382"/>
    <w:rsid w:val="008D096C"/>
    <w:rsid w:val="008D1050"/>
    <w:rsid w:val="008D175E"/>
    <w:rsid w:val="008D238C"/>
    <w:rsid w:val="008D25DE"/>
    <w:rsid w:val="008D3041"/>
    <w:rsid w:val="008D46A4"/>
    <w:rsid w:val="008D535C"/>
    <w:rsid w:val="008D6A96"/>
    <w:rsid w:val="008D6B4A"/>
    <w:rsid w:val="008D6F2B"/>
    <w:rsid w:val="008D6F7D"/>
    <w:rsid w:val="008E025F"/>
    <w:rsid w:val="008E044D"/>
    <w:rsid w:val="008E29B5"/>
    <w:rsid w:val="008E4686"/>
    <w:rsid w:val="008E4728"/>
    <w:rsid w:val="008E5D6A"/>
    <w:rsid w:val="008F0309"/>
    <w:rsid w:val="008F2BC8"/>
    <w:rsid w:val="008F38D2"/>
    <w:rsid w:val="008F421A"/>
    <w:rsid w:val="008F4C19"/>
    <w:rsid w:val="008F576A"/>
    <w:rsid w:val="008F755A"/>
    <w:rsid w:val="008F789A"/>
    <w:rsid w:val="00900F83"/>
    <w:rsid w:val="0090188B"/>
    <w:rsid w:val="00903D8A"/>
    <w:rsid w:val="009072EF"/>
    <w:rsid w:val="009110DC"/>
    <w:rsid w:val="00911A65"/>
    <w:rsid w:val="0091306D"/>
    <w:rsid w:val="0091313A"/>
    <w:rsid w:val="00913141"/>
    <w:rsid w:val="00913B9C"/>
    <w:rsid w:val="009142B0"/>
    <w:rsid w:val="009142EE"/>
    <w:rsid w:val="009146BA"/>
    <w:rsid w:val="00922057"/>
    <w:rsid w:val="00922EA3"/>
    <w:rsid w:val="00925600"/>
    <w:rsid w:val="00925D6E"/>
    <w:rsid w:val="00925E9E"/>
    <w:rsid w:val="00926B0E"/>
    <w:rsid w:val="00931373"/>
    <w:rsid w:val="00932075"/>
    <w:rsid w:val="00934637"/>
    <w:rsid w:val="00934CE8"/>
    <w:rsid w:val="00934F49"/>
    <w:rsid w:val="00937A17"/>
    <w:rsid w:val="009458DF"/>
    <w:rsid w:val="00945F76"/>
    <w:rsid w:val="00950C60"/>
    <w:rsid w:val="009510A2"/>
    <w:rsid w:val="0095436C"/>
    <w:rsid w:val="0095659F"/>
    <w:rsid w:val="009572EC"/>
    <w:rsid w:val="009601BD"/>
    <w:rsid w:val="00964228"/>
    <w:rsid w:val="0096629E"/>
    <w:rsid w:val="0097032E"/>
    <w:rsid w:val="00971620"/>
    <w:rsid w:val="00972050"/>
    <w:rsid w:val="00973A87"/>
    <w:rsid w:val="0097467D"/>
    <w:rsid w:val="009749F9"/>
    <w:rsid w:val="0098031A"/>
    <w:rsid w:val="00980381"/>
    <w:rsid w:val="009808F9"/>
    <w:rsid w:val="00982C99"/>
    <w:rsid w:val="00984507"/>
    <w:rsid w:val="00984964"/>
    <w:rsid w:val="0099287D"/>
    <w:rsid w:val="0099621A"/>
    <w:rsid w:val="009A0B2F"/>
    <w:rsid w:val="009B43D6"/>
    <w:rsid w:val="009B4F45"/>
    <w:rsid w:val="009B508D"/>
    <w:rsid w:val="009B5549"/>
    <w:rsid w:val="009B753E"/>
    <w:rsid w:val="009B7611"/>
    <w:rsid w:val="009B7725"/>
    <w:rsid w:val="009C2809"/>
    <w:rsid w:val="009C4065"/>
    <w:rsid w:val="009C53BC"/>
    <w:rsid w:val="009C5780"/>
    <w:rsid w:val="009D090D"/>
    <w:rsid w:val="009D2155"/>
    <w:rsid w:val="009D26D2"/>
    <w:rsid w:val="009D2855"/>
    <w:rsid w:val="009D4AF4"/>
    <w:rsid w:val="009D5E6E"/>
    <w:rsid w:val="009E27A9"/>
    <w:rsid w:val="009E3F1E"/>
    <w:rsid w:val="009E7075"/>
    <w:rsid w:val="009F0C73"/>
    <w:rsid w:val="009F3E61"/>
    <w:rsid w:val="009F6AB4"/>
    <w:rsid w:val="009F6CCD"/>
    <w:rsid w:val="009F797D"/>
    <w:rsid w:val="009F7E84"/>
    <w:rsid w:val="00A00EE8"/>
    <w:rsid w:val="00A0177C"/>
    <w:rsid w:val="00A03177"/>
    <w:rsid w:val="00A066A8"/>
    <w:rsid w:val="00A06C6F"/>
    <w:rsid w:val="00A101E8"/>
    <w:rsid w:val="00A1021B"/>
    <w:rsid w:val="00A10611"/>
    <w:rsid w:val="00A10A6A"/>
    <w:rsid w:val="00A133AE"/>
    <w:rsid w:val="00A14980"/>
    <w:rsid w:val="00A16A51"/>
    <w:rsid w:val="00A17408"/>
    <w:rsid w:val="00A17C2C"/>
    <w:rsid w:val="00A21926"/>
    <w:rsid w:val="00A24EC3"/>
    <w:rsid w:val="00A2514D"/>
    <w:rsid w:val="00A25E85"/>
    <w:rsid w:val="00A262EF"/>
    <w:rsid w:val="00A265AA"/>
    <w:rsid w:val="00A26867"/>
    <w:rsid w:val="00A32499"/>
    <w:rsid w:val="00A32836"/>
    <w:rsid w:val="00A33022"/>
    <w:rsid w:val="00A343FC"/>
    <w:rsid w:val="00A35351"/>
    <w:rsid w:val="00A36093"/>
    <w:rsid w:val="00A363BD"/>
    <w:rsid w:val="00A417B6"/>
    <w:rsid w:val="00A4196F"/>
    <w:rsid w:val="00A41D9D"/>
    <w:rsid w:val="00A433C6"/>
    <w:rsid w:val="00A472E5"/>
    <w:rsid w:val="00A47F28"/>
    <w:rsid w:val="00A52FE2"/>
    <w:rsid w:val="00A53369"/>
    <w:rsid w:val="00A5353B"/>
    <w:rsid w:val="00A5441B"/>
    <w:rsid w:val="00A54A4B"/>
    <w:rsid w:val="00A556E6"/>
    <w:rsid w:val="00A55BA6"/>
    <w:rsid w:val="00A562FF"/>
    <w:rsid w:val="00A5674B"/>
    <w:rsid w:val="00A605B6"/>
    <w:rsid w:val="00A61753"/>
    <w:rsid w:val="00A617F9"/>
    <w:rsid w:val="00A627EA"/>
    <w:rsid w:val="00A62D94"/>
    <w:rsid w:val="00A6407A"/>
    <w:rsid w:val="00A659DF"/>
    <w:rsid w:val="00A704B8"/>
    <w:rsid w:val="00A714EE"/>
    <w:rsid w:val="00A716E5"/>
    <w:rsid w:val="00A72835"/>
    <w:rsid w:val="00A7638C"/>
    <w:rsid w:val="00A76F1C"/>
    <w:rsid w:val="00A815CE"/>
    <w:rsid w:val="00A819E3"/>
    <w:rsid w:val="00A873EB"/>
    <w:rsid w:val="00A92DC3"/>
    <w:rsid w:val="00A94EAD"/>
    <w:rsid w:val="00AA4446"/>
    <w:rsid w:val="00AA5439"/>
    <w:rsid w:val="00AA5593"/>
    <w:rsid w:val="00AA676C"/>
    <w:rsid w:val="00AA7D34"/>
    <w:rsid w:val="00AB0D33"/>
    <w:rsid w:val="00AB1724"/>
    <w:rsid w:val="00AB2126"/>
    <w:rsid w:val="00AB2428"/>
    <w:rsid w:val="00AB3BFF"/>
    <w:rsid w:val="00AB42C7"/>
    <w:rsid w:val="00AB4AE7"/>
    <w:rsid w:val="00AB5816"/>
    <w:rsid w:val="00AB6024"/>
    <w:rsid w:val="00AC01A4"/>
    <w:rsid w:val="00AC01C2"/>
    <w:rsid w:val="00AC01DE"/>
    <w:rsid w:val="00AC196C"/>
    <w:rsid w:val="00AC28C9"/>
    <w:rsid w:val="00AC326A"/>
    <w:rsid w:val="00AC3FD3"/>
    <w:rsid w:val="00AC45FA"/>
    <w:rsid w:val="00AC5304"/>
    <w:rsid w:val="00AC5871"/>
    <w:rsid w:val="00AC5953"/>
    <w:rsid w:val="00AC61C0"/>
    <w:rsid w:val="00AC69AC"/>
    <w:rsid w:val="00AD12C1"/>
    <w:rsid w:val="00AD3D0B"/>
    <w:rsid w:val="00AE12E1"/>
    <w:rsid w:val="00AE52D4"/>
    <w:rsid w:val="00AF2956"/>
    <w:rsid w:val="00AF3512"/>
    <w:rsid w:val="00AF49EE"/>
    <w:rsid w:val="00B033A9"/>
    <w:rsid w:val="00B03815"/>
    <w:rsid w:val="00B03A56"/>
    <w:rsid w:val="00B05943"/>
    <w:rsid w:val="00B11469"/>
    <w:rsid w:val="00B117D9"/>
    <w:rsid w:val="00B1411E"/>
    <w:rsid w:val="00B14512"/>
    <w:rsid w:val="00B14652"/>
    <w:rsid w:val="00B14D01"/>
    <w:rsid w:val="00B20DF3"/>
    <w:rsid w:val="00B224D3"/>
    <w:rsid w:val="00B23115"/>
    <w:rsid w:val="00B26A94"/>
    <w:rsid w:val="00B335AD"/>
    <w:rsid w:val="00B4001D"/>
    <w:rsid w:val="00B400A8"/>
    <w:rsid w:val="00B40B45"/>
    <w:rsid w:val="00B4176A"/>
    <w:rsid w:val="00B421A2"/>
    <w:rsid w:val="00B42AAC"/>
    <w:rsid w:val="00B43EFF"/>
    <w:rsid w:val="00B452FD"/>
    <w:rsid w:val="00B46B62"/>
    <w:rsid w:val="00B46BF8"/>
    <w:rsid w:val="00B502E2"/>
    <w:rsid w:val="00B51601"/>
    <w:rsid w:val="00B53681"/>
    <w:rsid w:val="00B61398"/>
    <w:rsid w:val="00B627B6"/>
    <w:rsid w:val="00B64640"/>
    <w:rsid w:val="00B6549B"/>
    <w:rsid w:val="00B7213F"/>
    <w:rsid w:val="00B72162"/>
    <w:rsid w:val="00B7376D"/>
    <w:rsid w:val="00B747B1"/>
    <w:rsid w:val="00B74F3E"/>
    <w:rsid w:val="00B75891"/>
    <w:rsid w:val="00B7639D"/>
    <w:rsid w:val="00B8067C"/>
    <w:rsid w:val="00B86A00"/>
    <w:rsid w:val="00B87354"/>
    <w:rsid w:val="00B900C4"/>
    <w:rsid w:val="00B9019F"/>
    <w:rsid w:val="00B93C5E"/>
    <w:rsid w:val="00B93E4B"/>
    <w:rsid w:val="00B942D8"/>
    <w:rsid w:val="00B9477D"/>
    <w:rsid w:val="00B9518E"/>
    <w:rsid w:val="00B9644C"/>
    <w:rsid w:val="00B968E3"/>
    <w:rsid w:val="00B96DBF"/>
    <w:rsid w:val="00BA03F0"/>
    <w:rsid w:val="00BA2314"/>
    <w:rsid w:val="00BA2931"/>
    <w:rsid w:val="00BA53B5"/>
    <w:rsid w:val="00BA5E21"/>
    <w:rsid w:val="00BA6B85"/>
    <w:rsid w:val="00BB3854"/>
    <w:rsid w:val="00BB4B16"/>
    <w:rsid w:val="00BB4F67"/>
    <w:rsid w:val="00BB5162"/>
    <w:rsid w:val="00BB52A9"/>
    <w:rsid w:val="00BB663D"/>
    <w:rsid w:val="00BB7A68"/>
    <w:rsid w:val="00BC1177"/>
    <w:rsid w:val="00BC1C10"/>
    <w:rsid w:val="00BC3294"/>
    <w:rsid w:val="00BC7B3B"/>
    <w:rsid w:val="00BD09BC"/>
    <w:rsid w:val="00BD3BC0"/>
    <w:rsid w:val="00BD5BAF"/>
    <w:rsid w:val="00BD5EEF"/>
    <w:rsid w:val="00BD63E2"/>
    <w:rsid w:val="00BD7E0D"/>
    <w:rsid w:val="00BE28AF"/>
    <w:rsid w:val="00BE4B8C"/>
    <w:rsid w:val="00BE736A"/>
    <w:rsid w:val="00BF1AE8"/>
    <w:rsid w:val="00BF339A"/>
    <w:rsid w:val="00BF71DA"/>
    <w:rsid w:val="00BF72A4"/>
    <w:rsid w:val="00C019B9"/>
    <w:rsid w:val="00C01F99"/>
    <w:rsid w:val="00C0256F"/>
    <w:rsid w:val="00C03EC0"/>
    <w:rsid w:val="00C05D1B"/>
    <w:rsid w:val="00C06CF8"/>
    <w:rsid w:val="00C1213D"/>
    <w:rsid w:val="00C1345B"/>
    <w:rsid w:val="00C13CEF"/>
    <w:rsid w:val="00C142AC"/>
    <w:rsid w:val="00C148C0"/>
    <w:rsid w:val="00C14F1E"/>
    <w:rsid w:val="00C16225"/>
    <w:rsid w:val="00C21D05"/>
    <w:rsid w:val="00C273A2"/>
    <w:rsid w:val="00C27F69"/>
    <w:rsid w:val="00C30701"/>
    <w:rsid w:val="00C31D57"/>
    <w:rsid w:val="00C32679"/>
    <w:rsid w:val="00C34198"/>
    <w:rsid w:val="00C34E51"/>
    <w:rsid w:val="00C37763"/>
    <w:rsid w:val="00C40FF9"/>
    <w:rsid w:val="00C41806"/>
    <w:rsid w:val="00C41F31"/>
    <w:rsid w:val="00C44FB0"/>
    <w:rsid w:val="00C470D8"/>
    <w:rsid w:val="00C47420"/>
    <w:rsid w:val="00C5260D"/>
    <w:rsid w:val="00C5528C"/>
    <w:rsid w:val="00C60F74"/>
    <w:rsid w:val="00C61D0E"/>
    <w:rsid w:val="00C63580"/>
    <w:rsid w:val="00C6579F"/>
    <w:rsid w:val="00C661A7"/>
    <w:rsid w:val="00C6670F"/>
    <w:rsid w:val="00C70098"/>
    <w:rsid w:val="00C703FF"/>
    <w:rsid w:val="00C72746"/>
    <w:rsid w:val="00C73653"/>
    <w:rsid w:val="00C74B47"/>
    <w:rsid w:val="00C773E2"/>
    <w:rsid w:val="00C80796"/>
    <w:rsid w:val="00C85958"/>
    <w:rsid w:val="00C859FC"/>
    <w:rsid w:val="00C9472C"/>
    <w:rsid w:val="00C95F80"/>
    <w:rsid w:val="00CA0833"/>
    <w:rsid w:val="00CA555A"/>
    <w:rsid w:val="00CA7C45"/>
    <w:rsid w:val="00CB0F6B"/>
    <w:rsid w:val="00CB12E6"/>
    <w:rsid w:val="00CB1C35"/>
    <w:rsid w:val="00CB217F"/>
    <w:rsid w:val="00CB30B6"/>
    <w:rsid w:val="00CB383A"/>
    <w:rsid w:val="00CB3A0D"/>
    <w:rsid w:val="00CB6FB8"/>
    <w:rsid w:val="00CC2493"/>
    <w:rsid w:val="00CC292C"/>
    <w:rsid w:val="00CC2D28"/>
    <w:rsid w:val="00CC33FB"/>
    <w:rsid w:val="00CC3769"/>
    <w:rsid w:val="00CC3CB1"/>
    <w:rsid w:val="00CC5903"/>
    <w:rsid w:val="00CC5D6A"/>
    <w:rsid w:val="00CC712F"/>
    <w:rsid w:val="00CD02C3"/>
    <w:rsid w:val="00CD136E"/>
    <w:rsid w:val="00CD2987"/>
    <w:rsid w:val="00CD2C9C"/>
    <w:rsid w:val="00CD46D2"/>
    <w:rsid w:val="00CD5B79"/>
    <w:rsid w:val="00CD6A4D"/>
    <w:rsid w:val="00CD6B0D"/>
    <w:rsid w:val="00CD6F14"/>
    <w:rsid w:val="00CD777F"/>
    <w:rsid w:val="00CD7871"/>
    <w:rsid w:val="00CE03F6"/>
    <w:rsid w:val="00CE058B"/>
    <w:rsid w:val="00CE2F3F"/>
    <w:rsid w:val="00CE3E91"/>
    <w:rsid w:val="00CE4B25"/>
    <w:rsid w:val="00CE7A96"/>
    <w:rsid w:val="00CF061D"/>
    <w:rsid w:val="00CF19F8"/>
    <w:rsid w:val="00CF2285"/>
    <w:rsid w:val="00CF359A"/>
    <w:rsid w:val="00CF54A5"/>
    <w:rsid w:val="00D025B5"/>
    <w:rsid w:val="00D03208"/>
    <w:rsid w:val="00D0381D"/>
    <w:rsid w:val="00D03E1B"/>
    <w:rsid w:val="00D04C10"/>
    <w:rsid w:val="00D04F50"/>
    <w:rsid w:val="00D0654B"/>
    <w:rsid w:val="00D10453"/>
    <w:rsid w:val="00D12079"/>
    <w:rsid w:val="00D13ADD"/>
    <w:rsid w:val="00D155F0"/>
    <w:rsid w:val="00D1586D"/>
    <w:rsid w:val="00D1702C"/>
    <w:rsid w:val="00D17B69"/>
    <w:rsid w:val="00D2076D"/>
    <w:rsid w:val="00D20C14"/>
    <w:rsid w:val="00D21279"/>
    <w:rsid w:val="00D218BE"/>
    <w:rsid w:val="00D2370A"/>
    <w:rsid w:val="00D262DD"/>
    <w:rsid w:val="00D2713C"/>
    <w:rsid w:val="00D3059C"/>
    <w:rsid w:val="00D331E5"/>
    <w:rsid w:val="00D3361E"/>
    <w:rsid w:val="00D359D3"/>
    <w:rsid w:val="00D37A2E"/>
    <w:rsid w:val="00D43353"/>
    <w:rsid w:val="00D44B5E"/>
    <w:rsid w:val="00D46CB5"/>
    <w:rsid w:val="00D474BB"/>
    <w:rsid w:val="00D50266"/>
    <w:rsid w:val="00D520D0"/>
    <w:rsid w:val="00D53AA0"/>
    <w:rsid w:val="00D55979"/>
    <w:rsid w:val="00D565B6"/>
    <w:rsid w:val="00D619A1"/>
    <w:rsid w:val="00D6587D"/>
    <w:rsid w:val="00D65A4A"/>
    <w:rsid w:val="00D72CFB"/>
    <w:rsid w:val="00D73C07"/>
    <w:rsid w:val="00D76638"/>
    <w:rsid w:val="00D77A7A"/>
    <w:rsid w:val="00D77D16"/>
    <w:rsid w:val="00D806CB"/>
    <w:rsid w:val="00D80FBE"/>
    <w:rsid w:val="00D83407"/>
    <w:rsid w:val="00D83ABC"/>
    <w:rsid w:val="00D85A8B"/>
    <w:rsid w:val="00D875E7"/>
    <w:rsid w:val="00D9163A"/>
    <w:rsid w:val="00D924A2"/>
    <w:rsid w:val="00D92753"/>
    <w:rsid w:val="00D97158"/>
    <w:rsid w:val="00DA001A"/>
    <w:rsid w:val="00DA1124"/>
    <w:rsid w:val="00DA28F2"/>
    <w:rsid w:val="00DA414B"/>
    <w:rsid w:val="00DB2A4C"/>
    <w:rsid w:val="00DB3156"/>
    <w:rsid w:val="00DB340A"/>
    <w:rsid w:val="00DB57D5"/>
    <w:rsid w:val="00DB6072"/>
    <w:rsid w:val="00DC065A"/>
    <w:rsid w:val="00DC436A"/>
    <w:rsid w:val="00DC5E96"/>
    <w:rsid w:val="00DC6126"/>
    <w:rsid w:val="00DC65F8"/>
    <w:rsid w:val="00DC6987"/>
    <w:rsid w:val="00DC7A46"/>
    <w:rsid w:val="00DD0365"/>
    <w:rsid w:val="00DD0FBD"/>
    <w:rsid w:val="00DD3D85"/>
    <w:rsid w:val="00DD431D"/>
    <w:rsid w:val="00DD434A"/>
    <w:rsid w:val="00DD627A"/>
    <w:rsid w:val="00DE2C98"/>
    <w:rsid w:val="00DE31CC"/>
    <w:rsid w:val="00DE5138"/>
    <w:rsid w:val="00DE5341"/>
    <w:rsid w:val="00DE7373"/>
    <w:rsid w:val="00DE757A"/>
    <w:rsid w:val="00DE7FCC"/>
    <w:rsid w:val="00DF3865"/>
    <w:rsid w:val="00DF53D9"/>
    <w:rsid w:val="00DF74B7"/>
    <w:rsid w:val="00E00549"/>
    <w:rsid w:val="00E005CA"/>
    <w:rsid w:val="00E01DB9"/>
    <w:rsid w:val="00E0216F"/>
    <w:rsid w:val="00E02A4A"/>
    <w:rsid w:val="00E07956"/>
    <w:rsid w:val="00E11FA1"/>
    <w:rsid w:val="00E12C8B"/>
    <w:rsid w:val="00E12FC2"/>
    <w:rsid w:val="00E130DF"/>
    <w:rsid w:val="00E15CD4"/>
    <w:rsid w:val="00E207AF"/>
    <w:rsid w:val="00E20C04"/>
    <w:rsid w:val="00E240EB"/>
    <w:rsid w:val="00E24389"/>
    <w:rsid w:val="00E2471A"/>
    <w:rsid w:val="00E2503A"/>
    <w:rsid w:val="00E272F6"/>
    <w:rsid w:val="00E30D4F"/>
    <w:rsid w:val="00E345E9"/>
    <w:rsid w:val="00E35847"/>
    <w:rsid w:val="00E366A9"/>
    <w:rsid w:val="00E40A9F"/>
    <w:rsid w:val="00E45598"/>
    <w:rsid w:val="00E47683"/>
    <w:rsid w:val="00E503CA"/>
    <w:rsid w:val="00E536E8"/>
    <w:rsid w:val="00E53A4E"/>
    <w:rsid w:val="00E53B04"/>
    <w:rsid w:val="00E551FE"/>
    <w:rsid w:val="00E5756F"/>
    <w:rsid w:val="00E57C14"/>
    <w:rsid w:val="00E60810"/>
    <w:rsid w:val="00E60B90"/>
    <w:rsid w:val="00E621EB"/>
    <w:rsid w:val="00E62337"/>
    <w:rsid w:val="00E623BC"/>
    <w:rsid w:val="00E6299B"/>
    <w:rsid w:val="00E631CD"/>
    <w:rsid w:val="00E633DF"/>
    <w:rsid w:val="00E6372F"/>
    <w:rsid w:val="00E642EE"/>
    <w:rsid w:val="00E66C01"/>
    <w:rsid w:val="00E801BE"/>
    <w:rsid w:val="00E80C3A"/>
    <w:rsid w:val="00E80D4C"/>
    <w:rsid w:val="00E80EDF"/>
    <w:rsid w:val="00E81B85"/>
    <w:rsid w:val="00E81BE9"/>
    <w:rsid w:val="00E81D53"/>
    <w:rsid w:val="00E82C42"/>
    <w:rsid w:val="00E83192"/>
    <w:rsid w:val="00E8635E"/>
    <w:rsid w:val="00E943E2"/>
    <w:rsid w:val="00E960E4"/>
    <w:rsid w:val="00E96166"/>
    <w:rsid w:val="00EA1558"/>
    <w:rsid w:val="00EA5850"/>
    <w:rsid w:val="00EA754F"/>
    <w:rsid w:val="00EB1ACA"/>
    <w:rsid w:val="00EB25AB"/>
    <w:rsid w:val="00EB26EB"/>
    <w:rsid w:val="00EB4769"/>
    <w:rsid w:val="00EB5E80"/>
    <w:rsid w:val="00EB6C9B"/>
    <w:rsid w:val="00EB6FD8"/>
    <w:rsid w:val="00EB729F"/>
    <w:rsid w:val="00EC25ED"/>
    <w:rsid w:val="00EC3F68"/>
    <w:rsid w:val="00EC42D2"/>
    <w:rsid w:val="00EC6060"/>
    <w:rsid w:val="00EC6879"/>
    <w:rsid w:val="00ED0AFF"/>
    <w:rsid w:val="00ED1DE0"/>
    <w:rsid w:val="00ED30F2"/>
    <w:rsid w:val="00ED4876"/>
    <w:rsid w:val="00ED5E86"/>
    <w:rsid w:val="00ED6C75"/>
    <w:rsid w:val="00ED77C9"/>
    <w:rsid w:val="00ED7AD9"/>
    <w:rsid w:val="00EE0A31"/>
    <w:rsid w:val="00EE1583"/>
    <w:rsid w:val="00EE3AE0"/>
    <w:rsid w:val="00EE40C2"/>
    <w:rsid w:val="00EE4F0F"/>
    <w:rsid w:val="00EE762F"/>
    <w:rsid w:val="00EE7739"/>
    <w:rsid w:val="00EE77F5"/>
    <w:rsid w:val="00EF1867"/>
    <w:rsid w:val="00EF1E75"/>
    <w:rsid w:val="00EF2116"/>
    <w:rsid w:val="00EF3743"/>
    <w:rsid w:val="00EF391C"/>
    <w:rsid w:val="00EF3EE8"/>
    <w:rsid w:val="00EF4BB7"/>
    <w:rsid w:val="00EF5BBF"/>
    <w:rsid w:val="00EF7579"/>
    <w:rsid w:val="00F0089F"/>
    <w:rsid w:val="00F00A18"/>
    <w:rsid w:val="00F00F6E"/>
    <w:rsid w:val="00F01C1C"/>
    <w:rsid w:val="00F04763"/>
    <w:rsid w:val="00F04857"/>
    <w:rsid w:val="00F04E57"/>
    <w:rsid w:val="00F05D24"/>
    <w:rsid w:val="00F077B6"/>
    <w:rsid w:val="00F11458"/>
    <w:rsid w:val="00F222E4"/>
    <w:rsid w:val="00F23324"/>
    <w:rsid w:val="00F246F2"/>
    <w:rsid w:val="00F25E73"/>
    <w:rsid w:val="00F27DE2"/>
    <w:rsid w:val="00F30B24"/>
    <w:rsid w:val="00F320E5"/>
    <w:rsid w:val="00F34982"/>
    <w:rsid w:val="00F355B4"/>
    <w:rsid w:val="00F35895"/>
    <w:rsid w:val="00F36E0C"/>
    <w:rsid w:val="00F37CD3"/>
    <w:rsid w:val="00F411F0"/>
    <w:rsid w:val="00F413D2"/>
    <w:rsid w:val="00F42609"/>
    <w:rsid w:val="00F42C4A"/>
    <w:rsid w:val="00F4404F"/>
    <w:rsid w:val="00F451D2"/>
    <w:rsid w:val="00F50350"/>
    <w:rsid w:val="00F5108F"/>
    <w:rsid w:val="00F51FA0"/>
    <w:rsid w:val="00F52BD6"/>
    <w:rsid w:val="00F539C0"/>
    <w:rsid w:val="00F56006"/>
    <w:rsid w:val="00F57450"/>
    <w:rsid w:val="00F575F9"/>
    <w:rsid w:val="00F600A9"/>
    <w:rsid w:val="00F602B9"/>
    <w:rsid w:val="00F608A6"/>
    <w:rsid w:val="00F60D85"/>
    <w:rsid w:val="00F62C9B"/>
    <w:rsid w:val="00F62DFC"/>
    <w:rsid w:val="00F63548"/>
    <w:rsid w:val="00F6383F"/>
    <w:rsid w:val="00F6469D"/>
    <w:rsid w:val="00F6599B"/>
    <w:rsid w:val="00F665AE"/>
    <w:rsid w:val="00F725D0"/>
    <w:rsid w:val="00F72B07"/>
    <w:rsid w:val="00F74C62"/>
    <w:rsid w:val="00F75ECC"/>
    <w:rsid w:val="00F76F0E"/>
    <w:rsid w:val="00F80755"/>
    <w:rsid w:val="00F8469E"/>
    <w:rsid w:val="00F84FC7"/>
    <w:rsid w:val="00F866BE"/>
    <w:rsid w:val="00F8679E"/>
    <w:rsid w:val="00F9062B"/>
    <w:rsid w:val="00F907E6"/>
    <w:rsid w:val="00F918DA"/>
    <w:rsid w:val="00F91FB4"/>
    <w:rsid w:val="00F95BE0"/>
    <w:rsid w:val="00F96006"/>
    <w:rsid w:val="00F97212"/>
    <w:rsid w:val="00F97929"/>
    <w:rsid w:val="00FA1F72"/>
    <w:rsid w:val="00FA7C58"/>
    <w:rsid w:val="00FB1B6C"/>
    <w:rsid w:val="00FB26EA"/>
    <w:rsid w:val="00FB5189"/>
    <w:rsid w:val="00FC0350"/>
    <w:rsid w:val="00FC14F5"/>
    <w:rsid w:val="00FC3994"/>
    <w:rsid w:val="00FC47A0"/>
    <w:rsid w:val="00FD0350"/>
    <w:rsid w:val="00FD0A2B"/>
    <w:rsid w:val="00FD23AA"/>
    <w:rsid w:val="00FD353A"/>
    <w:rsid w:val="00FD38D3"/>
    <w:rsid w:val="00FD4E24"/>
    <w:rsid w:val="00FD5A1C"/>
    <w:rsid w:val="00FD5B90"/>
    <w:rsid w:val="00FD6CAC"/>
    <w:rsid w:val="00FE0322"/>
    <w:rsid w:val="00FE17B1"/>
    <w:rsid w:val="00FE360F"/>
    <w:rsid w:val="00FE67B1"/>
    <w:rsid w:val="00FE7769"/>
    <w:rsid w:val="00FF4897"/>
    <w:rsid w:val="00FF54CC"/>
    <w:rsid w:val="00FF5816"/>
    <w:rsid w:val="00FF7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8597"/>
  <w15:docId w15:val="{37C0896B-C826-4F70-A3E5-70A1B7FD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1D"/>
    <w:pPr>
      <w:spacing w:line="360" w:lineRule="auto"/>
      <w:jc w:val="both"/>
    </w:pPr>
    <w:rPr>
      <w:rFonts w:ascii="Soberana Sans" w:eastAsiaTheme="minorEastAsia" w:hAnsi="Soberana Sans"/>
      <w:lang w:eastAsia="es-MX"/>
    </w:rPr>
  </w:style>
  <w:style w:type="paragraph" w:styleId="Ttulo1">
    <w:name w:val="heading 1"/>
    <w:basedOn w:val="Normal"/>
    <w:next w:val="Normal"/>
    <w:link w:val="Ttulo1Car"/>
    <w:uiPriority w:val="9"/>
    <w:qFormat/>
    <w:rsid w:val="001D2EBA"/>
    <w:pPr>
      <w:keepNext/>
      <w:keepLines/>
      <w:numPr>
        <w:numId w:val="1"/>
      </w:numPr>
      <w:spacing w:before="360" w:after="240"/>
      <w:outlineLvl w:val="0"/>
    </w:pPr>
    <w:rPr>
      <w:rFonts w:ascii="Soberana Titular" w:eastAsiaTheme="majorEastAsia" w:hAnsi="Soberana Titular" w:cstheme="majorBidi"/>
      <w:b/>
      <w:bCs/>
      <w:sz w:val="28"/>
      <w:szCs w:val="28"/>
    </w:rPr>
  </w:style>
  <w:style w:type="paragraph" w:styleId="Ttulo2">
    <w:name w:val="heading 2"/>
    <w:basedOn w:val="Normal"/>
    <w:next w:val="Normal"/>
    <w:link w:val="Ttulo2Car"/>
    <w:uiPriority w:val="9"/>
    <w:unhideWhenUsed/>
    <w:qFormat/>
    <w:rsid w:val="008E4728"/>
    <w:pPr>
      <w:keepNext/>
      <w:keepLines/>
      <w:numPr>
        <w:ilvl w:val="1"/>
        <w:numId w:val="1"/>
      </w:numPr>
      <w:spacing w:before="200" w:after="120"/>
      <w:outlineLvl w:val="1"/>
    </w:pPr>
    <w:rPr>
      <w:rFonts w:ascii="Soberana Titular" w:eastAsiaTheme="majorEastAsia" w:hAnsi="Soberana Titular" w:cstheme="majorBidi"/>
      <w:b/>
      <w:bCs/>
      <w:szCs w:val="26"/>
    </w:rPr>
  </w:style>
  <w:style w:type="paragraph" w:styleId="Ttulo3">
    <w:name w:val="heading 3"/>
    <w:basedOn w:val="Ttulo2"/>
    <w:next w:val="Normal"/>
    <w:link w:val="Ttulo3Car"/>
    <w:uiPriority w:val="9"/>
    <w:unhideWhenUsed/>
    <w:qFormat/>
    <w:rsid w:val="008E4728"/>
    <w:pPr>
      <w:numPr>
        <w:ilvl w:val="2"/>
      </w:numPr>
      <w:outlineLvl w:val="2"/>
    </w:pPr>
    <w:rPr>
      <w:rFonts w:ascii="Soberana Sans Light" w:eastAsiaTheme="minorHAnsi" w:hAnsi="Soberana Sans Light" w:cstheme="minorBidi"/>
      <w:bCs w:val="0"/>
      <w:szCs w:val="24"/>
      <w:lang w:eastAsia="zh-TW"/>
    </w:rPr>
  </w:style>
  <w:style w:type="paragraph" w:styleId="Ttulo4">
    <w:name w:val="heading 4"/>
    <w:basedOn w:val="Ttulo3"/>
    <w:next w:val="Normal"/>
    <w:link w:val="Ttulo4Car"/>
    <w:uiPriority w:val="9"/>
    <w:unhideWhenUsed/>
    <w:qFormat/>
    <w:rsid w:val="00F05D24"/>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2EBA"/>
    <w:rPr>
      <w:rFonts w:ascii="Soberana Titular" w:eastAsiaTheme="majorEastAsia" w:hAnsi="Soberana Titular" w:cstheme="majorBidi"/>
      <w:b/>
      <w:bCs/>
      <w:sz w:val="28"/>
      <w:szCs w:val="28"/>
      <w:lang w:eastAsia="es-MX"/>
    </w:rPr>
  </w:style>
  <w:style w:type="character" w:customStyle="1" w:styleId="Ttulo2Car">
    <w:name w:val="Título 2 Car"/>
    <w:basedOn w:val="Fuentedeprrafopredeter"/>
    <w:link w:val="Ttulo2"/>
    <w:uiPriority w:val="9"/>
    <w:rsid w:val="008E4728"/>
    <w:rPr>
      <w:rFonts w:ascii="Soberana Titular" w:eastAsiaTheme="majorEastAsia" w:hAnsi="Soberana Titular" w:cstheme="majorBidi"/>
      <w:b/>
      <w:bCs/>
      <w:sz w:val="24"/>
      <w:szCs w:val="26"/>
      <w:lang w:eastAsia="es-MX"/>
    </w:rPr>
  </w:style>
  <w:style w:type="character" w:customStyle="1" w:styleId="Ttulo3Car">
    <w:name w:val="Título 3 Car"/>
    <w:basedOn w:val="Fuentedeprrafopredeter"/>
    <w:link w:val="Ttulo3"/>
    <w:uiPriority w:val="9"/>
    <w:rsid w:val="008E4728"/>
    <w:rPr>
      <w:rFonts w:ascii="Soberana Sans Light" w:hAnsi="Soberana Sans Light"/>
      <w:b/>
      <w:sz w:val="24"/>
      <w:szCs w:val="24"/>
      <w:lang w:eastAsia="zh-TW"/>
    </w:rPr>
  </w:style>
  <w:style w:type="paragraph" w:styleId="Textodeglobo">
    <w:name w:val="Balloon Text"/>
    <w:basedOn w:val="Normal"/>
    <w:link w:val="TextodegloboCar"/>
    <w:uiPriority w:val="99"/>
    <w:semiHidden/>
    <w:unhideWhenUsed/>
    <w:rsid w:val="00307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0AA"/>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307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0AA"/>
    <w:rPr>
      <w:rFonts w:eastAsiaTheme="minorEastAsia"/>
      <w:lang w:eastAsia="es-MX"/>
    </w:rPr>
  </w:style>
  <w:style w:type="paragraph" w:styleId="Piedepgina">
    <w:name w:val="footer"/>
    <w:basedOn w:val="Normal"/>
    <w:link w:val="PiedepginaCar"/>
    <w:uiPriority w:val="99"/>
    <w:unhideWhenUsed/>
    <w:rsid w:val="00307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0AA"/>
    <w:rPr>
      <w:rFonts w:eastAsiaTheme="minorEastAsia"/>
      <w:lang w:eastAsia="es-MX"/>
    </w:rPr>
  </w:style>
  <w:style w:type="table" w:styleId="Tablaconcuadrcula">
    <w:name w:val="Table Grid"/>
    <w:basedOn w:val="Tablanormal"/>
    <w:uiPriority w:val="59"/>
    <w:rsid w:val="003070A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3070AA"/>
    <w:pPr>
      <w:ind w:left="720"/>
      <w:contextualSpacing/>
    </w:pPr>
  </w:style>
  <w:style w:type="paragraph" w:styleId="Sinespaciado">
    <w:name w:val="No Spacing"/>
    <w:link w:val="SinespaciadoCar"/>
    <w:uiPriority w:val="1"/>
    <w:qFormat/>
    <w:rsid w:val="003070A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070AA"/>
    <w:rPr>
      <w:rFonts w:eastAsiaTheme="minorEastAsia"/>
      <w:lang w:eastAsia="es-MX"/>
    </w:rPr>
  </w:style>
  <w:style w:type="table" w:styleId="Sombreadomedio2-nfasis5">
    <w:name w:val="Medium Shading 2 Accent 5"/>
    <w:basedOn w:val="Tablanormal"/>
    <w:uiPriority w:val="64"/>
    <w:rsid w:val="003070AA"/>
    <w:pPr>
      <w:spacing w:after="0" w:line="240" w:lineRule="auto"/>
    </w:pPr>
    <w:rPr>
      <w:rFonts w:eastAsiaTheme="minorEastAsia"/>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070AA"/>
    <w:pPr>
      <w:spacing w:before="100" w:beforeAutospacing="1" w:after="100" w:afterAutospacing="1" w:line="240" w:lineRule="auto"/>
    </w:pPr>
    <w:rPr>
      <w:rFonts w:ascii="Times New Roman" w:eastAsia="Times New Roman" w:hAnsi="Times New Roman" w:cs="Times New Roman"/>
      <w:szCs w:val="24"/>
    </w:rPr>
  </w:style>
  <w:style w:type="paragraph" w:styleId="Textonotapie">
    <w:name w:val="footnote text"/>
    <w:basedOn w:val="Normal"/>
    <w:link w:val="TextonotapieCar"/>
    <w:uiPriority w:val="99"/>
    <w:semiHidden/>
    <w:unhideWhenUsed/>
    <w:rsid w:val="003070AA"/>
    <w:pPr>
      <w:spacing w:after="0" w:line="240" w:lineRule="auto"/>
    </w:pPr>
    <w:rPr>
      <w:rFonts w:eastAsiaTheme="minorHAnsi"/>
      <w:sz w:val="20"/>
      <w:szCs w:val="20"/>
      <w:lang w:eastAsia="zh-TW"/>
    </w:rPr>
  </w:style>
  <w:style w:type="character" w:customStyle="1" w:styleId="TextonotapieCar">
    <w:name w:val="Texto nota pie Car"/>
    <w:basedOn w:val="Fuentedeprrafopredeter"/>
    <w:link w:val="Textonotapie"/>
    <w:uiPriority w:val="99"/>
    <w:semiHidden/>
    <w:rsid w:val="003070AA"/>
    <w:rPr>
      <w:sz w:val="20"/>
      <w:szCs w:val="20"/>
      <w:lang w:eastAsia="zh-TW"/>
    </w:rPr>
  </w:style>
  <w:style w:type="character" w:styleId="Refdenotaalpie">
    <w:name w:val="footnote reference"/>
    <w:basedOn w:val="Fuentedeprrafopredeter"/>
    <w:uiPriority w:val="99"/>
    <w:semiHidden/>
    <w:unhideWhenUsed/>
    <w:rsid w:val="003070AA"/>
    <w:rPr>
      <w:vertAlign w:val="superscript"/>
    </w:rPr>
  </w:style>
  <w:style w:type="paragraph" w:customStyle="1" w:styleId="Texto">
    <w:name w:val="Texto"/>
    <w:basedOn w:val="Normal"/>
    <w:link w:val="TextoCar"/>
    <w:rsid w:val="003070AA"/>
    <w:pPr>
      <w:spacing w:after="101" w:line="216" w:lineRule="exact"/>
      <w:ind w:firstLine="288"/>
    </w:pPr>
    <w:rPr>
      <w:rFonts w:ascii="Arial" w:eastAsia="Times New Roman" w:hAnsi="Arial" w:cs="Times New Roman"/>
      <w:sz w:val="18"/>
      <w:szCs w:val="20"/>
      <w:lang w:val="es-ES" w:eastAsia="es-ES"/>
    </w:rPr>
  </w:style>
  <w:style w:type="character" w:customStyle="1" w:styleId="TextoCar">
    <w:name w:val="Texto Car"/>
    <w:link w:val="Texto"/>
    <w:locked/>
    <w:rsid w:val="003070AA"/>
    <w:rPr>
      <w:rFonts w:ascii="Arial" w:eastAsia="Times New Roman" w:hAnsi="Arial" w:cs="Times New Roman"/>
      <w:sz w:val="18"/>
      <w:szCs w:val="20"/>
      <w:lang w:val="es-ES" w:eastAsia="es-ES"/>
    </w:rPr>
  </w:style>
  <w:style w:type="paragraph" w:customStyle="1" w:styleId="ROMANOS">
    <w:name w:val="ROMANOS"/>
    <w:basedOn w:val="Normal"/>
    <w:link w:val="ROMANOSCar"/>
    <w:rsid w:val="003070AA"/>
    <w:pPr>
      <w:tabs>
        <w:tab w:val="left" w:pos="720"/>
      </w:tabs>
      <w:spacing w:after="101" w:line="216" w:lineRule="exact"/>
      <w:ind w:left="720" w:hanging="432"/>
    </w:pPr>
    <w:rPr>
      <w:rFonts w:ascii="Arial" w:eastAsia="Times New Roman" w:hAnsi="Arial" w:cs="Times New Roman"/>
      <w:sz w:val="18"/>
      <w:szCs w:val="18"/>
      <w:lang w:val="es-ES" w:eastAsia="es-ES"/>
    </w:rPr>
  </w:style>
  <w:style w:type="character" w:customStyle="1" w:styleId="ROMANOSCar">
    <w:name w:val="ROMANOS Car"/>
    <w:link w:val="ROMANOS"/>
    <w:locked/>
    <w:rsid w:val="003070AA"/>
    <w:rPr>
      <w:rFonts w:ascii="Arial" w:eastAsia="Times New Roman" w:hAnsi="Arial" w:cs="Times New Roman"/>
      <w:sz w:val="18"/>
      <w:szCs w:val="18"/>
      <w:lang w:val="es-ES" w:eastAsia="es-ES"/>
    </w:rPr>
  </w:style>
  <w:style w:type="character" w:styleId="Textodelmarcadordeposicin">
    <w:name w:val="Placeholder Text"/>
    <w:basedOn w:val="Fuentedeprrafopredeter"/>
    <w:uiPriority w:val="99"/>
    <w:semiHidden/>
    <w:rsid w:val="003070AA"/>
    <w:rPr>
      <w:color w:val="808080"/>
    </w:rPr>
  </w:style>
  <w:style w:type="character" w:styleId="Refdecomentario">
    <w:name w:val="annotation reference"/>
    <w:basedOn w:val="Fuentedeprrafopredeter"/>
    <w:uiPriority w:val="99"/>
    <w:semiHidden/>
    <w:unhideWhenUsed/>
    <w:rsid w:val="003070AA"/>
    <w:rPr>
      <w:sz w:val="16"/>
      <w:szCs w:val="16"/>
    </w:rPr>
  </w:style>
  <w:style w:type="paragraph" w:styleId="Textocomentario">
    <w:name w:val="annotation text"/>
    <w:basedOn w:val="Normal"/>
    <w:link w:val="TextocomentarioCar"/>
    <w:uiPriority w:val="99"/>
    <w:semiHidden/>
    <w:unhideWhenUsed/>
    <w:rsid w:val="003070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70AA"/>
    <w:rPr>
      <w:rFonts w:eastAsiaTheme="minorEastAsia"/>
      <w:sz w:val="20"/>
      <w:szCs w:val="20"/>
      <w:lang w:eastAsia="es-MX"/>
    </w:rPr>
  </w:style>
  <w:style w:type="character" w:customStyle="1" w:styleId="AsuntodelcomentarioCar">
    <w:name w:val="Asunto del comentario Car"/>
    <w:basedOn w:val="TextocomentarioCar"/>
    <w:link w:val="Asuntodelcomentario"/>
    <w:uiPriority w:val="99"/>
    <w:semiHidden/>
    <w:rsid w:val="003070AA"/>
    <w:rPr>
      <w:rFonts w:eastAsiaTheme="minorEastAsia"/>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070AA"/>
    <w:rPr>
      <w:b/>
      <w:bCs/>
    </w:rPr>
  </w:style>
  <w:style w:type="character" w:customStyle="1" w:styleId="AsuntodelcomentarioCar1">
    <w:name w:val="Asunto del comentario Car1"/>
    <w:basedOn w:val="TextocomentarioCar"/>
    <w:uiPriority w:val="99"/>
    <w:semiHidden/>
    <w:rsid w:val="003070AA"/>
    <w:rPr>
      <w:rFonts w:eastAsiaTheme="minorEastAsia"/>
      <w:b/>
      <w:bCs/>
      <w:sz w:val="20"/>
      <w:szCs w:val="20"/>
      <w:lang w:eastAsia="es-MX"/>
    </w:rPr>
  </w:style>
  <w:style w:type="character" w:styleId="Hipervnculo">
    <w:name w:val="Hyperlink"/>
    <w:basedOn w:val="Fuentedeprrafopredeter"/>
    <w:uiPriority w:val="99"/>
    <w:unhideWhenUsed/>
    <w:rsid w:val="003070AA"/>
    <w:rPr>
      <w:color w:val="0000FF" w:themeColor="hyperlink"/>
      <w:u w:val="single"/>
    </w:rPr>
  </w:style>
  <w:style w:type="paragraph" w:styleId="Revisin">
    <w:name w:val="Revision"/>
    <w:hidden/>
    <w:uiPriority w:val="99"/>
    <w:semiHidden/>
    <w:rsid w:val="003070AA"/>
    <w:pPr>
      <w:spacing w:after="0" w:line="240" w:lineRule="auto"/>
    </w:pPr>
    <w:rPr>
      <w:rFonts w:eastAsiaTheme="minorEastAsia"/>
      <w:lang w:eastAsia="es-MX"/>
    </w:rPr>
  </w:style>
  <w:style w:type="paragraph" w:customStyle="1" w:styleId="NotaalPie">
    <w:name w:val="Nota al Pie"/>
    <w:basedOn w:val="Textonotapie"/>
    <w:link w:val="NotaalPieCar"/>
    <w:qFormat/>
    <w:rsid w:val="0088299A"/>
    <w:pPr>
      <w:ind w:left="142" w:hanging="142"/>
    </w:pPr>
    <w:rPr>
      <w:sz w:val="18"/>
    </w:rPr>
  </w:style>
  <w:style w:type="character" w:customStyle="1" w:styleId="NotaalPieCar">
    <w:name w:val="Nota al Pie Car"/>
    <w:basedOn w:val="TextonotapieCar"/>
    <w:link w:val="NotaalPie"/>
    <w:rsid w:val="0088299A"/>
    <w:rPr>
      <w:rFonts w:ascii="Soberana Sans" w:hAnsi="Soberana Sans"/>
      <w:sz w:val="18"/>
      <w:szCs w:val="20"/>
      <w:lang w:eastAsia="zh-TW"/>
    </w:rPr>
  </w:style>
  <w:style w:type="paragraph" w:styleId="TtulodeTDC">
    <w:name w:val="TOC Heading"/>
    <w:basedOn w:val="Ttulo1"/>
    <w:next w:val="Normal"/>
    <w:uiPriority w:val="39"/>
    <w:unhideWhenUsed/>
    <w:qFormat/>
    <w:rsid w:val="003070AA"/>
    <w:pPr>
      <w:spacing w:before="480" w:after="0"/>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rsid w:val="003070AA"/>
    <w:pPr>
      <w:spacing w:after="100"/>
    </w:pPr>
  </w:style>
  <w:style w:type="paragraph" w:styleId="TDC2">
    <w:name w:val="toc 2"/>
    <w:basedOn w:val="Normal"/>
    <w:next w:val="Normal"/>
    <w:autoRedefine/>
    <w:uiPriority w:val="39"/>
    <w:unhideWhenUsed/>
    <w:rsid w:val="003070AA"/>
    <w:pPr>
      <w:spacing w:after="100"/>
      <w:ind w:left="220"/>
    </w:pPr>
  </w:style>
  <w:style w:type="paragraph" w:styleId="TDC3">
    <w:name w:val="toc 3"/>
    <w:basedOn w:val="Normal"/>
    <w:next w:val="Normal"/>
    <w:autoRedefine/>
    <w:uiPriority w:val="39"/>
    <w:unhideWhenUsed/>
    <w:rsid w:val="003070AA"/>
    <w:pPr>
      <w:spacing w:after="100"/>
      <w:ind w:left="440"/>
    </w:pPr>
  </w:style>
  <w:style w:type="paragraph" w:styleId="Subttulo">
    <w:name w:val="Subtitle"/>
    <w:basedOn w:val="Normal"/>
    <w:next w:val="Normal"/>
    <w:link w:val="SubttuloCar"/>
    <w:uiPriority w:val="11"/>
    <w:qFormat/>
    <w:rsid w:val="008E4728"/>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8E4728"/>
    <w:rPr>
      <w:rFonts w:asciiTheme="majorHAnsi" w:eastAsiaTheme="majorEastAsia" w:hAnsiTheme="majorHAnsi" w:cstheme="majorBidi"/>
      <w:i/>
      <w:iCs/>
      <w:color w:val="4F81BD" w:themeColor="accent1"/>
      <w:spacing w:val="15"/>
      <w:sz w:val="24"/>
      <w:szCs w:val="24"/>
      <w:lang w:eastAsia="es-MX"/>
    </w:rPr>
  </w:style>
  <w:style w:type="character" w:customStyle="1" w:styleId="Ttulo4Car">
    <w:name w:val="Título 4 Car"/>
    <w:basedOn w:val="Fuentedeprrafopredeter"/>
    <w:link w:val="Ttulo4"/>
    <w:uiPriority w:val="9"/>
    <w:rsid w:val="00F05D24"/>
    <w:rPr>
      <w:rFonts w:ascii="Soberana Sans Light" w:hAnsi="Soberana Sans Light"/>
      <w:b/>
      <w:sz w:val="24"/>
      <w:szCs w:val="24"/>
      <w:lang w:eastAsia="zh-TW"/>
    </w:rPr>
  </w:style>
  <w:style w:type="paragraph" w:customStyle="1" w:styleId="Mtodosdeclculo">
    <w:name w:val="Métodos de cálculo"/>
    <w:basedOn w:val="Normal"/>
    <w:link w:val="MtodosdeclculoCar"/>
    <w:qFormat/>
    <w:rsid w:val="00063E75"/>
    <w:pPr>
      <w:autoSpaceDE w:val="0"/>
      <w:autoSpaceDN w:val="0"/>
      <w:adjustRightInd w:val="0"/>
      <w:spacing w:after="0" w:line="240" w:lineRule="auto"/>
    </w:pPr>
    <w:rPr>
      <w:rFonts w:ascii="Soberana Sans Light" w:hAnsi="Soberana Sans Light"/>
    </w:rPr>
  </w:style>
  <w:style w:type="paragraph" w:customStyle="1" w:styleId="Normala">
    <w:name w:val="Normal a"/>
    <w:basedOn w:val="Normal"/>
    <w:link w:val="NormalaCar"/>
    <w:qFormat/>
    <w:rsid w:val="00AB2428"/>
    <w:rPr>
      <w:rFonts w:ascii="Soberana Sans Light" w:hAnsi="Soberana Sans Light"/>
    </w:rPr>
  </w:style>
  <w:style w:type="character" w:customStyle="1" w:styleId="MtodosdeclculoCar">
    <w:name w:val="Métodos de cálculo Car"/>
    <w:basedOn w:val="Fuentedeprrafopredeter"/>
    <w:link w:val="Mtodosdeclculo"/>
    <w:rsid w:val="00063E75"/>
    <w:rPr>
      <w:rFonts w:ascii="Soberana Sans Light" w:eastAsiaTheme="minorEastAsia" w:hAnsi="Soberana Sans Light"/>
      <w:lang w:eastAsia="es-MX"/>
    </w:rPr>
  </w:style>
  <w:style w:type="character" w:customStyle="1" w:styleId="NormalaCar">
    <w:name w:val="Normal a Car"/>
    <w:basedOn w:val="Fuentedeprrafopredeter"/>
    <w:link w:val="Normala"/>
    <w:rsid w:val="00AB2428"/>
    <w:rPr>
      <w:rFonts w:ascii="Soberana Sans Light" w:eastAsiaTheme="minorEastAsia" w:hAnsi="Soberana Sans Light"/>
      <w:sz w:val="24"/>
      <w:lang w:eastAsia="es-MX"/>
    </w:rPr>
  </w:style>
  <w:style w:type="character" w:styleId="nfasissutil">
    <w:name w:val="Subtle Emphasis"/>
    <w:uiPriority w:val="19"/>
    <w:qFormat/>
    <w:rsid w:val="00A92DC3"/>
    <w:rPr>
      <w:i/>
      <w:iCs/>
    </w:rPr>
  </w:style>
  <w:style w:type="paragraph" w:customStyle="1" w:styleId="Default">
    <w:name w:val="Default"/>
    <w:rsid w:val="008674AF"/>
    <w:pPr>
      <w:autoSpaceDE w:val="0"/>
      <w:autoSpaceDN w:val="0"/>
      <w:adjustRightInd w:val="0"/>
      <w:spacing w:after="0" w:line="240" w:lineRule="auto"/>
    </w:pPr>
    <w:rPr>
      <w:rFonts w:ascii="Soberana Sans" w:hAnsi="Soberana Sans" w:cs="Soberana Sans"/>
      <w:color w:val="000000"/>
      <w:sz w:val="24"/>
      <w:szCs w:val="24"/>
    </w:rPr>
  </w:style>
  <w:style w:type="paragraph" w:customStyle="1" w:styleId="Cdetexto">
    <w:name w:val="C. de texto"/>
    <w:basedOn w:val="Normal"/>
    <w:qFormat/>
    <w:rsid w:val="00816D9B"/>
    <w:pPr>
      <w:spacing w:after="120" w:line="240" w:lineRule="auto"/>
    </w:pPr>
    <w:rPr>
      <w:rFonts w:eastAsia="Times New Roman" w:cs="Arial"/>
      <w:szCs w:val="20"/>
      <w:lang w:val="es-ES" w:eastAsia="es-ES"/>
    </w:rPr>
  </w:style>
  <w:style w:type="paragraph" w:customStyle="1" w:styleId="Tablas2">
    <w:name w:val="Tablas 2"/>
    <w:basedOn w:val="Normal"/>
    <w:link w:val="Tablas2Car"/>
    <w:qFormat/>
    <w:rsid w:val="00B72162"/>
    <w:pPr>
      <w:autoSpaceDE w:val="0"/>
      <w:autoSpaceDN w:val="0"/>
      <w:adjustRightInd w:val="0"/>
      <w:spacing w:after="0" w:line="240" w:lineRule="auto"/>
      <w:jc w:val="center"/>
    </w:pPr>
    <w:rPr>
      <w:rFonts w:eastAsiaTheme="majorEastAsia" w:cstheme="majorBidi"/>
      <w:lang w:eastAsia="en-US" w:bidi="en-US"/>
    </w:rPr>
  </w:style>
  <w:style w:type="character" w:customStyle="1" w:styleId="Tablas2Car">
    <w:name w:val="Tablas 2 Car"/>
    <w:basedOn w:val="Fuentedeprrafopredeter"/>
    <w:link w:val="Tablas2"/>
    <w:rsid w:val="00B72162"/>
    <w:rPr>
      <w:rFonts w:ascii="Soberana Sans" w:eastAsiaTheme="majorEastAsia" w:hAnsi="Soberana Sans" w:cstheme="majorBidi"/>
      <w:lang w:bidi="en-US"/>
    </w:rPr>
  </w:style>
  <w:style w:type="paragraph" w:customStyle="1" w:styleId="Notas">
    <w:name w:val="Notas"/>
    <w:basedOn w:val="Normal"/>
    <w:link w:val="NotasCar"/>
    <w:qFormat/>
    <w:rsid w:val="00B72162"/>
    <w:pPr>
      <w:autoSpaceDE w:val="0"/>
      <w:autoSpaceDN w:val="0"/>
      <w:adjustRightInd w:val="0"/>
      <w:spacing w:after="0" w:line="240" w:lineRule="auto"/>
      <w:jc w:val="left"/>
    </w:pPr>
    <w:rPr>
      <w:rFonts w:eastAsiaTheme="majorEastAsia" w:cstheme="minorHAnsi"/>
      <w:sz w:val="20"/>
      <w:szCs w:val="20"/>
      <w:lang w:eastAsia="en-US" w:bidi="en-US"/>
    </w:rPr>
  </w:style>
  <w:style w:type="character" w:customStyle="1" w:styleId="NotasCar">
    <w:name w:val="Notas Car"/>
    <w:basedOn w:val="Fuentedeprrafopredeter"/>
    <w:link w:val="Notas"/>
    <w:rsid w:val="00B72162"/>
    <w:rPr>
      <w:rFonts w:ascii="Soberana Sans" w:eastAsiaTheme="majorEastAsia" w:hAnsi="Soberana Sans" w:cstheme="minorHAnsi"/>
      <w:sz w:val="20"/>
      <w:szCs w:val="20"/>
      <w:lang w:bidi="en-US"/>
    </w:rPr>
  </w:style>
  <w:style w:type="character" w:customStyle="1" w:styleId="apple-converted-space">
    <w:name w:val="apple-converted-space"/>
    <w:basedOn w:val="Fuentedeprrafopredeter"/>
    <w:rsid w:val="00292A4B"/>
  </w:style>
  <w:style w:type="paragraph" w:styleId="Puesto">
    <w:name w:val="Title"/>
    <w:basedOn w:val="Normal"/>
    <w:next w:val="Normal"/>
    <w:link w:val="PuestoCar"/>
    <w:uiPriority w:val="10"/>
    <w:qFormat/>
    <w:rsid w:val="00DA28F2"/>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929296"/>
      <w:spacing w:val="50"/>
      <w:sz w:val="44"/>
      <w:szCs w:val="44"/>
      <w:lang w:val="en-US" w:eastAsia="en-US" w:bidi="en-US"/>
    </w:rPr>
  </w:style>
  <w:style w:type="character" w:customStyle="1" w:styleId="PuestoCar">
    <w:name w:val="Puesto Car"/>
    <w:basedOn w:val="Fuentedeprrafopredeter"/>
    <w:link w:val="Puesto"/>
    <w:uiPriority w:val="10"/>
    <w:rsid w:val="00DA28F2"/>
    <w:rPr>
      <w:rFonts w:asciiTheme="majorHAnsi" w:eastAsiaTheme="majorEastAsia" w:hAnsiTheme="majorHAnsi" w:cstheme="majorBidi"/>
      <w:caps/>
      <w:color w:val="929296"/>
      <w:spacing w:val="50"/>
      <w:sz w:val="44"/>
      <w:szCs w:val="44"/>
      <w:lang w:val="en-US" w:bidi="en-US"/>
    </w:rPr>
  </w:style>
  <w:style w:type="character" w:customStyle="1" w:styleId="PrrafodelistaCar">
    <w:name w:val="Párrafo de lista Car"/>
    <w:link w:val="Prrafodelista"/>
    <w:uiPriority w:val="34"/>
    <w:locked/>
    <w:rsid w:val="003D7F6A"/>
    <w:rPr>
      <w:rFonts w:ascii="Soberana Sans" w:eastAsiaTheme="minorEastAsia" w:hAnsi="Soberana Sans"/>
      <w:sz w:val="24"/>
      <w:lang w:eastAsia="es-MX"/>
    </w:rPr>
  </w:style>
  <w:style w:type="character" w:styleId="Hipervnculovisitado">
    <w:name w:val="FollowedHyperlink"/>
    <w:basedOn w:val="Fuentedeprrafopredeter"/>
    <w:uiPriority w:val="99"/>
    <w:semiHidden/>
    <w:unhideWhenUsed/>
    <w:rsid w:val="00F95BE0"/>
    <w:rPr>
      <w:color w:val="800080" w:themeColor="followedHyperlink"/>
      <w:u w:val="single"/>
    </w:rPr>
  </w:style>
  <w:style w:type="paragraph" w:customStyle="1" w:styleId="Textonotapie1">
    <w:name w:val="Texto nota pie1"/>
    <w:basedOn w:val="Normal"/>
    <w:next w:val="Textonotapie"/>
    <w:uiPriority w:val="99"/>
    <w:semiHidden/>
    <w:unhideWhenUsed/>
    <w:rsid w:val="0020386D"/>
    <w:pPr>
      <w:spacing w:after="0" w:line="240" w:lineRule="auto"/>
    </w:pPr>
    <w:rPr>
      <w:rFonts w:asciiTheme="minorHAnsi" w:eastAsiaTheme="minorHAnsi" w:hAnsiTheme="minorHAnsi"/>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684">
      <w:bodyDiv w:val="1"/>
      <w:marLeft w:val="0"/>
      <w:marRight w:val="0"/>
      <w:marTop w:val="0"/>
      <w:marBottom w:val="0"/>
      <w:divBdr>
        <w:top w:val="none" w:sz="0" w:space="0" w:color="auto"/>
        <w:left w:val="none" w:sz="0" w:space="0" w:color="auto"/>
        <w:bottom w:val="none" w:sz="0" w:space="0" w:color="auto"/>
        <w:right w:val="none" w:sz="0" w:space="0" w:color="auto"/>
      </w:divBdr>
    </w:div>
    <w:div w:id="39674516">
      <w:bodyDiv w:val="1"/>
      <w:marLeft w:val="0"/>
      <w:marRight w:val="0"/>
      <w:marTop w:val="0"/>
      <w:marBottom w:val="0"/>
      <w:divBdr>
        <w:top w:val="none" w:sz="0" w:space="0" w:color="auto"/>
        <w:left w:val="none" w:sz="0" w:space="0" w:color="auto"/>
        <w:bottom w:val="none" w:sz="0" w:space="0" w:color="auto"/>
        <w:right w:val="none" w:sz="0" w:space="0" w:color="auto"/>
      </w:divBdr>
    </w:div>
    <w:div w:id="46883440">
      <w:bodyDiv w:val="1"/>
      <w:marLeft w:val="0"/>
      <w:marRight w:val="0"/>
      <w:marTop w:val="0"/>
      <w:marBottom w:val="0"/>
      <w:divBdr>
        <w:top w:val="none" w:sz="0" w:space="0" w:color="auto"/>
        <w:left w:val="none" w:sz="0" w:space="0" w:color="auto"/>
        <w:bottom w:val="none" w:sz="0" w:space="0" w:color="auto"/>
        <w:right w:val="none" w:sz="0" w:space="0" w:color="auto"/>
      </w:divBdr>
    </w:div>
    <w:div w:id="70198405">
      <w:bodyDiv w:val="1"/>
      <w:marLeft w:val="0"/>
      <w:marRight w:val="0"/>
      <w:marTop w:val="0"/>
      <w:marBottom w:val="0"/>
      <w:divBdr>
        <w:top w:val="none" w:sz="0" w:space="0" w:color="auto"/>
        <w:left w:val="none" w:sz="0" w:space="0" w:color="auto"/>
        <w:bottom w:val="none" w:sz="0" w:space="0" w:color="auto"/>
        <w:right w:val="none" w:sz="0" w:space="0" w:color="auto"/>
      </w:divBdr>
    </w:div>
    <w:div w:id="90778230">
      <w:bodyDiv w:val="1"/>
      <w:marLeft w:val="0"/>
      <w:marRight w:val="0"/>
      <w:marTop w:val="0"/>
      <w:marBottom w:val="0"/>
      <w:divBdr>
        <w:top w:val="none" w:sz="0" w:space="0" w:color="auto"/>
        <w:left w:val="none" w:sz="0" w:space="0" w:color="auto"/>
        <w:bottom w:val="none" w:sz="0" w:space="0" w:color="auto"/>
        <w:right w:val="none" w:sz="0" w:space="0" w:color="auto"/>
      </w:divBdr>
    </w:div>
    <w:div w:id="103042279">
      <w:bodyDiv w:val="1"/>
      <w:marLeft w:val="0"/>
      <w:marRight w:val="0"/>
      <w:marTop w:val="0"/>
      <w:marBottom w:val="0"/>
      <w:divBdr>
        <w:top w:val="none" w:sz="0" w:space="0" w:color="auto"/>
        <w:left w:val="none" w:sz="0" w:space="0" w:color="auto"/>
        <w:bottom w:val="none" w:sz="0" w:space="0" w:color="auto"/>
        <w:right w:val="none" w:sz="0" w:space="0" w:color="auto"/>
      </w:divBdr>
    </w:div>
    <w:div w:id="251398646">
      <w:bodyDiv w:val="1"/>
      <w:marLeft w:val="0"/>
      <w:marRight w:val="0"/>
      <w:marTop w:val="0"/>
      <w:marBottom w:val="0"/>
      <w:divBdr>
        <w:top w:val="none" w:sz="0" w:space="0" w:color="auto"/>
        <w:left w:val="none" w:sz="0" w:space="0" w:color="auto"/>
        <w:bottom w:val="none" w:sz="0" w:space="0" w:color="auto"/>
        <w:right w:val="none" w:sz="0" w:space="0" w:color="auto"/>
      </w:divBdr>
    </w:div>
    <w:div w:id="337849168">
      <w:bodyDiv w:val="1"/>
      <w:marLeft w:val="0"/>
      <w:marRight w:val="0"/>
      <w:marTop w:val="0"/>
      <w:marBottom w:val="0"/>
      <w:divBdr>
        <w:top w:val="none" w:sz="0" w:space="0" w:color="auto"/>
        <w:left w:val="none" w:sz="0" w:space="0" w:color="auto"/>
        <w:bottom w:val="none" w:sz="0" w:space="0" w:color="auto"/>
        <w:right w:val="none" w:sz="0" w:space="0" w:color="auto"/>
      </w:divBdr>
    </w:div>
    <w:div w:id="359816423">
      <w:bodyDiv w:val="1"/>
      <w:marLeft w:val="0"/>
      <w:marRight w:val="0"/>
      <w:marTop w:val="0"/>
      <w:marBottom w:val="0"/>
      <w:divBdr>
        <w:top w:val="none" w:sz="0" w:space="0" w:color="auto"/>
        <w:left w:val="none" w:sz="0" w:space="0" w:color="auto"/>
        <w:bottom w:val="none" w:sz="0" w:space="0" w:color="auto"/>
        <w:right w:val="none" w:sz="0" w:space="0" w:color="auto"/>
      </w:divBdr>
    </w:div>
    <w:div w:id="400910891">
      <w:bodyDiv w:val="1"/>
      <w:marLeft w:val="0"/>
      <w:marRight w:val="0"/>
      <w:marTop w:val="0"/>
      <w:marBottom w:val="0"/>
      <w:divBdr>
        <w:top w:val="none" w:sz="0" w:space="0" w:color="auto"/>
        <w:left w:val="none" w:sz="0" w:space="0" w:color="auto"/>
        <w:bottom w:val="none" w:sz="0" w:space="0" w:color="auto"/>
        <w:right w:val="none" w:sz="0" w:space="0" w:color="auto"/>
      </w:divBdr>
    </w:div>
    <w:div w:id="476654250">
      <w:bodyDiv w:val="1"/>
      <w:marLeft w:val="0"/>
      <w:marRight w:val="0"/>
      <w:marTop w:val="0"/>
      <w:marBottom w:val="0"/>
      <w:divBdr>
        <w:top w:val="none" w:sz="0" w:space="0" w:color="auto"/>
        <w:left w:val="none" w:sz="0" w:space="0" w:color="auto"/>
        <w:bottom w:val="none" w:sz="0" w:space="0" w:color="auto"/>
        <w:right w:val="none" w:sz="0" w:space="0" w:color="auto"/>
      </w:divBdr>
    </w:div>
    <w:div w:id="518665566">
      <w:bodyDiv w:val="1"/>
      <w:marLeft w:val="0"/>
      <w:marRight w:val="0"/>
      <w:marTop w:val="0"/>
      <w:marBottom w:val="0"/>
      <w:divBdr>
        <w:top w:val="none" w:sz="0" w:space="0" w:color="auto"/>
        <w:left w:val="none" w:sz="0" w:space="0" w:color="auto"/>
        <w:bottom w:val="none" w:sz="0" w:space="0" w:color="auto"/>
        <w:right w:val="none" w:sz="0" w:space="0" w:color="auto"/>
      </w:divBdr>
    </w:div>
    <w:div w:id="566918731">
      <w:bodyDiv w:val="1"/>
      <w:marLeft w:val="0"/>
      <w:marRight w:val="0"/>
      <w:marTop w:val="0"/>
      <w:marBottom w:val="0"/>
      <w:divBdr>
        <w:top w:val="none" w:sz="0" w:space="0" w:color="auto"/>
        <w:left w:val="none" w:sz="0" w:space="0" w:color="auto"/>
        <w:bottom w:val="none" w:sz="0" w:space="0" w:color="auto"/>
        <w:right w:val="none" w:sz="0" w:space="0" w:color="auto"/>
      </w:divBdr>
    </w:div>
    <w:div w:id="584800163">
      <w:bodyDiv w:val="1"/>
      <w:marLeft w:val="0"/>
      <w:marRight w:val="0"/>
      <w:marTop w:val="0"/>
      <w:marBottom w:val="0"/>
      <w:divBdr>
        <w:top w:val="none" w:sz="0" w:space="0" w:color="auto"/>
        <w:left w:val="none" w:sz="0" w:space="0" w:color="auto"/>
        <w:bottom w:val="none" w:sz="0" w:space="0" w:color="auto"/>
        <w:right w:val="none" w:sz="0" w:space="0" w:color="auto"/>
      </w:divBdr>
    </w:div>
    <w:div w:id="585770842">
      <w:bodyDiv w:val="1"/>
      <w:marLeft w:val="0"/>
      <w:marRight w:val="0"/>
      <w:marTop w:val="0"/>
      <w:marBottom w:val="0"/>
      <w:divBdr>
        <w:top w:val="none" w:sz="0" w:space="0" w:color="auto"/>
        <w:left w:val="none" w:sz="0" w:space="0" w:color="auto"/>
        <w:bottom w:val="none" w:sz="0" w:space="0" w:color="auto"/>
        <w:right w:val="none" w:sz="0" w:space="0" w:color="auto"/>
      </w:divBdr>
    </w:div>
    <w:div w:id="595944929">
      <w:bodyDiv w:val="1"/>
      <w:marLeft w:val="0"/>
      <w:marRight w:val="0"/>
      <w:marTop w:val="0"/>
      <w:marBottom w:val="0"/>
      <w:divBdr>
        <w:top w:val="none" w:sz="0" w:space="0" w:color="auto"/>
        <w:left w:val="none" w:sz="0" w:space="0" w:color="auto"/>
        <w:bottom w:val="none" w:sz="0" w:space="0" w:color="auto"/>
        <w:right w:val="none" w:sz="0" w:space="0" w:color="auto"/>
      </w:divBdr>
    </w:div>
    <w:div w:id="597521362">
      <w:bodyDiv w:val="1"/>
      <w:marLeft w:val="0"/>
      <w:marRight w:val="0"/>
      <w:marTop w:val="0"/>
      <w:marBottom w:val="0"/>
      <w:divBdr>
        <w:top w:val="none" w:sz="0" w:space="0" w:color="auto"/>
        <w:left w:val="none" w:sz="0" w:space="0" w:color="auto"/>
        <w:bottom w:val="none" w:sz="0" w:space="0" w:color="auto"/>
        <w:right w:val="none" w:sz="0" w:space="0" w:color="auto"/>
      </w:divBdr>
    </w:div>
    <w:div w:id="619187896">
      <w:bodyDiv w:val="1"/>
      <w:marLeft w:val="0"/>
      <w:marRight w:val="0"/>
      <w:marTop w:val="0"/>
      <w:marBottom w:val="0"/>
      <w:divBdr>
        <w:top w:val="none" w:sz="0" w:space="0" w:color="auto"/>
        <w:left w:val="none" w:sz="0" w:space="0" w:color="auto"/>
        <w:bottom w:val="none" w:sz="0" w:space="0" w:color="auto"/>
        <w:right w:val="none" w:sz="0" w:space="0" w:color="auto"/>
      </w:divBdr>
    </w:div>
    <w:div w:id="624308487">
      <w:bodyDiv w:val="1"/>
      <w:marLeft w:val="0"/>
      <w:marRight w:val="0"/>
      <w:marTop w:val="0"/>
      <w:marBottom w:val="0"/>
      <w:divBdr>
        <w:top w:val="none" w:sz="0" w:space="0" w:color="auto"/>
        <w:left w:val="none" w:sz="0" w:space="0" w:color="auto"/>
        <w:bottom w:val="none" w:sz="0" w:space="0" w:color="auto"/>
        <w:right w:val="none" w:sz="0" w:space="0" w:color="auto"/>
      </w:divBdr>
    </w:div>
    <w:div w:id="633949306">
      <w:bodyDiv w:val="1"/>
      <w:marLeft w:val="0"/>
      <w:marRight w:val="0"/>
      <w:marTop w:val="0"/>
      <w:marBottom w:val="0"/>
      <w:divBdr>
        <w:top w:val="none" w:sz="0" w:space="0" w:color="auto"/>
        <w:left w:val="none" w:sz="0" w:space="0" w:color="auto"/>
        <w:bottom w:val="none" w:sz="0" w:space="0" w:color="auto"/>
        <w:right w:val="none" w:sz="0" w:space="0" w:color="auto"/>
      </w:divBdr>
    </w:div>
    <w:div w:id="649790961">
      <w:bodyDiv w:val="1"/>
      <w:marLeft w:val="0"/>
      <w:marRight w:val="0"/>
      <w:marTop w:val="0"/>
      <w:marBottom w:val="0"/>
      <w:divBdr>
        <w:top w:val="none" w:sz="0" w:space="0" w:color="auto"/>
        <w:left w:val="none" w:sz="0" w:space="0" w:color="auto"/>
        <w:bottom w:val="none" w:sz="0" w:space="0" w:color="auto"/>
        <w:right w:val="none" w:sz="0" w:space="0" w:color="auto"/>
      </w:divBdr>
    </w:div>
    <w:div w:id="811677412">
      <w:bodyDiv w:val="1"/>
      <w:marLeft w:val="0"/>
      <w:marRight w:val="0"/>
      <w:marTop w:val="0"/>
      <w:marBottom w:val="0"/>
      <w:divBdr>
        <w:top w:val="none" w:sz="0" w:space="0" w:color="auto"/>
        <w:left w:val="none" w:sz="0" w:space="0" w:color="auto"/>
        <w:bottom w:val="none" w:sz="0" w:space="0" w:color="auto"/>
        <w:right w:val="none" w:sz="0" w:space="0" w:color="auto"/>
      </w:divBdr>
    </w:div>
    <w:div w:id="860818499">
      <w:bodyDiv w:val="1"/>
      <w:marLeft w:val="0"/>
      <w:marRight w:val="0"/>
      <w:marTop w:val="0"/>
      <w:marBottom w:val="0"/>
      <w:divBdr>
        <w:top w:val="none" w:sz="0" w:space="0" w:color="auto"/>
        <w:left w:val="none" w:sz="0" w:space="0" w:color="auto"/>
        <w:bottom w:val="none" w:sz="0" w:space="0" w:color="auto"/>
        <w:right w:val="none" w:sz="0" w:space="0" w:color="auto"/>
      </w:divBdr>
    </w:div>
    <w:div w:id="878737032">
      <w:bodyDiv w:val="1"/>
      <w:marLeft w:val="0"/>
      <w:marRight w:val="0"/>
      <w:marTop w:val="0"/>
      <w:marBottom w:val="0"/>
      <w:divBdr>
        <w:top w:val="none" w:sz="0" w:space="0" w:color="auto"/>
        <w:left w:val="none" w:sz="0" w:space="0" w:color="auto"/>
        <w:bottom w:val="none" w:sz="0" w:space="0" w:color="auto"/>
        <w:right w:val="none" w:sz="0" w:space="0" w:color="auto"/>
      </w:divBdr>
    </w:div>
    <w:div w:id="881092166">
      <w:bodyDiv w:val="1"/>
      <w:marLeft w:val="0"/>
      <w:marRight w:val="0"/>
      <w:marTop w:val="0"/>
      <w:marBottom w:val="0"/>
      <w:divBdr>
        <w:top w:val="none" w:sz="0" w:space="0" w:color="auto"/>
        <w:left w:val="none" w:sz="0" w:space="0" w:color="auto"/>
        <w:bottom w:val="none" w:sz="0" w:space="0" w:color="auto"/>
        <w:right w:val="none" w:sz="0" w:space="0" w:color="auto"/>
      </w:divBdr>
    </w:div>
    <w:div w:id="889416289">
      <w:bodyDiv w:val="1"/>
      <w:marLeft w:val="0"/>
      <w:marRight w:val="0"/>
      <w:marTop w:val="0"/>
      <w:marBottom w:val="0"/>
      <w:divBdr>
        <w:top w:val="none" w:sz="0" w:space="0" w:color="auto"/>
        <w:left w:val="none" w:sz="0" w:space="0" w:color="auto"/>
        <w:bottom w:val="none" w:sz="0" w:space="0" w:color="auto"/>
        <w:right w:val="none" w:sz="0" w:space="0" w:color="auto"/>
      </w:divBdr>
    </w:div>
    <w:div w:id="890384920">
      <w:bodyDiv w:val="1"/>
      <w:marLeft w:val="0"/>
      <w:marRight w:val="0"/>
      <w:marTop w:val="0"/>
      <w:marBottom w:val="0"/>
      <w:divBdr>
        <w:top w:val="none" w:sz="0" w:space="0" w:color="auto"/>
        <w:left w:val="none" w:sz="0" w:space="0" w:color="auto"/>
        <w:bottom w:val="none" w:sz="0" w:space="0" w:color="auto"/>
        <w:right w:val="none" w:sz="0" w:space="0" w:color="auto"/>
      </w:divBdr>
    </w:div>
    <w:div w:id="982733607">
      <w:bodyDiv w:val="1"/>
      <w:marLeft w:val="0"/>
      <w:marRight w:val="0"/>
      <w:marTop w:val="0"/>
      <w:marBottom w:val="0"/>
      <w:divBdr>
        <w:top w:val="none" w:sz="0" w:space="0" w:color="auto"/>
        <w:left w:val="none" w:sz="0" w:space="0" w:color="auto"/>
        <w:bottom w:val="none" w:sz="0" w:space="0" w:color="auto"/>
        <w:right w:val="none" w:sz="0" w:space="0" w:color="auto"/>
      </w:divBdr>
    </w:div>
    <w:div w:id="1000235682">
      <w:bodyDiv w:val="1"/>
      <w:marLeft w:val="0"/>
      <w:marRight w:val="0"/>
      <w:marTop w:val="0"/>
      <w:marBottom w:val="0"/>
      <w:divBdr>
        <w:top w:val="none" w:sz="0" w:space="0" w:color="auto"/>
        <w:left w:val="none" w:sz="0" w:space="0" w:color="auto"/>
        <w:bottom w:val="none" w:sz="0" w:space="0" w:color="auto"/>
        <w:right w:val="none" w:sz="0" w:space="0" w:color="auto"/>
      </w:divBdr>
    </w:div>
    <w:div w:id="1014765080">
      <w:bodyDiv w:val="1"/>
      <w:marLeft w:val="0"/>
      <w:marRight w:val="0"/>
      <w:marTop w:val="0"/>
      <w:marBottom w:val="0"/>
      <w:divBdr>
        <w:top w:val="none" w:sz="0" w:space="0" w:color="auto"/>
        <w:left w:val="none" w:sz="0" w:space="0" w:color="auto"/>
        <w:bottom w:val="none" w:sz="0" w:space="0" w:color="auto"/>
        <w:right w:val="none" w:sz="0" w:space="0" w:color="auto"/>
      </w:divBdr>
    </w:div>
    <w:div w:id="1064640663">
      <w:bodyDiv w:val="1"/>
      <w:marLeft w:val="0"/>
      <w:marRight w:val="0"/>
      <w:marTop w:val="0"/>
      <w:marBottom w:val="0"/>
      <w:divBdr>
        <w:top w:val="none" w:sz="0" w:space="0" w:color="auto"/>
        <w:left w:val="none" w:sz="0" w:space="0" w:color="auto"/>
        <w:bottom w:val="none" w:sz="0" w:space="0" w:color="auto"/>
        <w:right w:val="none" w:sz="0" w:space="0" w:color="auto"/>
      </w:divBdr>
    </w:div>
    <w:div w:id="1085494230">
      <w:bodyDiv w:val="1"/>
      <w:marLeft w:val="0"/>
      <w:marRight w:val="0"/>
      <w:marTop w:val="0"/>
      <w:marBottom w:val="0"/>
      <w:divBdr>
        <w:top w:val="none" w:sz="0" w:space="0" w:color="auto"/>
        <w:left w:val="none" w:sz="0" w:space="0" w:color="auto"/>
        <w:bottom w:val="none" w:sz="0" w:space="0" w:color="auto"/>
        <w:right w:val="none" w:sz="0" w:space="0" w:color="auto"/>
      </w:divBdr>
    </w:div>
    <w:div w:id="1097097036">
      <w:bodyDiv w:val="1"/>
      <w:marLeft w:val="0"/>
      <w:marRight w:val="0"/>
      <w:marTop w:val="0"/>
      <w:marBottom w:val="0"/>
      <w:divBdr>
        <w:top w:val="none" w:sz="0" w:space="0" w:color="auto"/>
        <w:left w:val="none" w:sz="0" w:space="0" w:color="auto"/>
        <w:bottom w:val="none" w:sz="0" w:space="0" w:color="auto"/>
        <w:right w:val="none" w:sz="0" w:space="0" w:color="auto"/>
      </w:divBdr>
    </w:div>
    <w:div w:id="1102143805">
      <w:bodyDiv w:val="1"/>
      <w:marLeft w:val="0"/>
      <w:marRight w:val="0"/>
      <w:marTop w:val="0"/>
      <w:marBottom w:val="0"/>
      <w:divBdr>
        <w:top w:val="none" w:sz="0" w:space="0" w:color="auto"/>
        <w:left w:val="none" w:sz="0" w:space="0" w:color="auto"/>
        <w:bottom w:val="none" w:sz="0" w:space="0" w:color="auto"/>
        <w:right w:val="none" w:sz="0" w:space="0" w:color="auto"/>
      </w:divBdr>
    </w:div>
    <w:div w:id="1126002323">
      <w:bodyDiv w:val="1"/>
      <w:marLeft w:val="0"/>
      <w:marRight w:val="0"/>
      <w:marTop w:val="0"/>
      <w:marBottom w:val="0"/>
      <w:divBdr>
        <w:top w:val="none" w:sz="0" w:space="0" w:color="auto"/>
        <w:left w:val="none" w:sz="0" w:space="0" w:color="auto"/>
        <w:bottom w:val="none" w:sz="0" w:space="0" w:color="auto"/>
        <w:right w:val="none" w:sz="0" w:space="0" w:color="auto"/>
      </w:divBdr>
    </w:div>
    <w:div w:id="1181623431">
      <w:bodyDiv w:val="1"/>
      <w:marLeft w:val="0"/>
      <w:marRight w:val="0"/>
      <w:marTop w:val="0"/>
      <w:marBottom w:val="0"/>
      <w:divBdr>
        <w:top w:val="none" w:sz="0" w:space="0" w:color="auto"/>
        <w:left w:val="none" w:sz="0" w:space="0" w:color="auto"/>
        <w:bottom w:val="none" w:sz="0" w:space="0" w:color="auto"/>
        <w:right w:val="none" w:sz="0" w:space="0" w:color="auto"/>
      </w:divBdr>
    </w:div>
    <w:div w:id="1221017524">
      <w:bodyDiv w:val="1"/>
      <w:marLeft w:val="0"/>
      <w:marRight w:val="0"/>
      <w:marTop w:val="0"/>
      <w:marBottom w:val="0"/>
      <w:divBdr>
        <w:top w:val="none" w:sz="0" w:space="0" w:color="auto"/>
        <w:left w:val="none" w:sz="0" w:space="0" w:color="auto"/>
        <w:bottom w:val="none" w:sz="0" w:space="0" w:color="auto"/>
        <w:right w:val="none" w:sz="0" w:space="0" w:color="auto"/>
      </w:divBdr>
    </w:div>
    <w:div w:id="1239484907">
      <w:bodyDiv w:val="1"/>
      <w:marLeft w:val="0"/>
      <w:marRight w:val="0"/>
      <w:marTop w:val="0"/>
      <w:marBottom w:val="0"/>
      <w:divBdr>
        <w:top w:val="none" w:sz="0" w:space="0" w:color="auto"/>
        <w:left w:val="none" w:sz="0" w:space="0" w:color="auto"/>
        <w:bottom w:val="none" w:sz="0" w:space="0" w:color="auto"/>
        <w:right w:val="none" w:sz="0" w:space="0" w:color="auto"/>
      </w:divBdr>
    </w:div>
    <w:div w:id="1243643578">
      <w:bodyDiv w:val="1"/>
      <w:marLeft w:val="0"/>
      <w:marRight w:val="0"/>
      <w:marTop w:val="0"/>
      <w:marBottom w:val="0"/>
      <w:divBdr>
        <w:top w:val="none" w:sz="0" w:space="0" w:color="auto"/>
        <w:left w:val="none" w:sz="0" w:space="0" w:color="auto"/>
        <w:bottom w:val="none" w:sz="0" w:space="0" w:color="auto"/>
        <w:right w:val="none" w:sz="0" w:space="0" w:color="auto"/>
      </w:divBdr>
    </w:div>
    <w:div w:id="1380978854">
      <w:bodyDiv w:val="1"/>
      <w:marLeft w:val="0"/>
      <w:marRight w:val="0"/>
      <w:marTop w:val="0"/>
      <w:marBottom w:val="0"/>
      <w:divBdr>
        <w:top w:val="none" w:sz="0" w:space="0" w:color="auto"/>
        <w:left w:val="none" w:sz="0" w:space="0" w:color="auto"/>
        <w:bottom w:val="none" w:sz="0" w:space="0" w:color="auto"/>
        <w:right w:val="none" w:sz="0" w:space="0" w:color="auto"/>
      </w:divBdr>
    </w:div>
    <w:div w:id="1405565871">
      <w:bodyDiv w:val="1"/>
      <w:marLeft w:val="0"/>
      <w:marRight w:val="0"/>
      <w:marTop w:val="0"/>
      <w:marBottom w:val="0"/>
      <w:divBdr>
        <w:top w:val="none" w:sz="0" w:space="0" w:color="auto"/>
        <w:left w:val="none" w:sz="0" w:space="0" w:color="auto"/>
        <w:bottom w:val="none" w:sz="0" w:space="0" w:color="auto"/>
        <w:right w:val="none" w:sz="0" w:space="0" w:color="auto"/>
      </w:divBdr>
    </w:div>
    <w:div w:id="1406075516">
      <w:bodyDiv w:val="1"/>
      <w:marLeft w:val="0"/>
      <w:marRight w:val="0"/>
      <w:marTop w:val="0"/>
      <w:marBottom w:val="0"/>
      <w:divBdr>
        <w:top w:val="none" w:sz="0" w:space="0" w:color="auto"/>
        <w:left w:val="none" w:sz="0" w:space="0" w:color="auto"/>
        <w:bottom w:val="none" w:sz="0" w:space="0" w:color="auto"/>
        <w:right w:val="none" w:sz="0" w:space="0" w:color="auto"/>
      </w:divBdr>
    </w:div>
    <w:div w:id="1438258511">
      <w:bodyDiv w:val="1"/>
      <w:marLeft w:val="0"/>
      <w:marRight w:val="0"/>
      <w:marTop w:val="0"/>
      <w:marBottom w:val="0"/>
      <w:divBdr>
        <w:top w:val="none" w:sz="0" w:space="0" w:color="auto"/>
        <w:left w:val="none" w:sz="0" w:space="0" w:color="auto"/>
        <w:bottom w:val="none" w:sz="0" w:space="0" w:color="auto"/>
        <w:right w:val="none" w:sz="0" w:space="0" w:color="auto"/>
      </w:divBdr>
    </w:div>
    <w:div w:id="1438719939">
      <w:bodyDiv w:val="1"/>
      <w:marLeft w:val="0"/>
      <w:marRight w:val="0"/>
      <w:marTop w:val="0"/>
      <w:marBottom w:val="0"/>
      <w:divBdr>
        <w:top w:val="none" w:sz="0" w:space="0" w:color="auto"/>
        <w:left w:val="none" w:sz="0" w:space="0" w:color="auto"/>
        <w:bottom w:val="none" w:sz="0" w:space="0" w:color="auto"/>
        <w:right w:val="none" w:sz="0" w:space="0" w:color="auto"/>
      </w:divBdr>
    </w:div>
    <w:div w:id="1489439132">
      <w:bodyDiv w:val="1"/>
      <w:marLeft w:val="0"/>
      <w:marRight w:val="0"/>
      <w:marTop w:val="0"/>
      <w:marBottom w:val="0"/>
      <w:divBdr>
        <w:top w:val="none" w:sz="0" w:space="0" w:color="auto"/>
        <w:left w:val="none" w:sz="0" w:space="0" w:color="auto"/>
        <w:bottom w:val="none" w:sz="0" w:space="0" w:color="auto"/>
        <w:right w:val="none" w:sz="0" w:space="0" w:color="auto"/>
      </w:divBdr>
    </w:div>
    <w:div w:id="1500196356">
      <w:bodyDiv w:val="1"/>
      <w:marLeft w:val="0"/>
      <w:marRight w:val="0"/>
      <w:marTop w:val="0"/>
      <w:marBottom w:val="0"/>
      <w:divBdr>
        <w:top w:val="none" w:sz="0" w:space="0" w:color="auto"/>
        <w:left w:val="none" w:sz="0" w:space="0" w:color="auto"/>
        <w:bottom w:val="none" w:sz="0" w:space="0" w:color="auto"/>
        <w:right w:val="none" w:sz="0" w:space="0" w:color="auto"/>
      </w:divBdr>
    </w:div>
    <w:div w:id="1542328373">
      <w:bodyDiv w:val="1"/>
      <w:marLeft w:val="0"/>
      <w:marRight w:val="0"/>
      <w:marTop w:val="0"/>
      <w:marBottom w:val="0"/>
      <w:divBdr>
        <w:top w:val="none" w:sz="0" w:space="0" w:color="auto"/>
        <w:left w:val="none" w:sz="0" w:space="0" w:color="auto"/>
        <w:bottom w:val="none" w:sz="0" w:space="0" w:color="auto"/>
        <w:right w:val="none" w:sz="0" w:space="0" w:color="auto"/>
      </w:divBdr>
    </w:div>
    <w:div w:id="1565489507">
      <w:bodyDiv w:val="1"/>
      <w:marLeft w:val="0"/>
      <w:marRight w:val="0"/>
      <w:marTop w:val="0"/>
      <w:marBottom w:val="0"/>
      <w:divBdr>
        <w:top w:val="none" w:sz="0" w:space="0" w:color="auto"/>
        <w:left w:val="none" w:sz="0" w:space="0" w:color="auto"/>
        <w:bottom w:val="none" w:sz="0" w:space="0" w:color="auto"/>
        <w:right w:val="none" w:sz="0" w:space="0" w:color="auto"/>
      </w:divBdr>
    </w:div>
    <w:div w:id="1576277013">
      <w:bodyDiv w:val="1"/>
      <w:marLeft w:val="0"/>
      <w:marRight w:val="0"/>
      <w:marTop w:val="0"/>
      <w:marBottom w:val="0"/>
      <w:divBdr>
        <w:top w:val="none" w:sz="0" w:space="0" w:color="auto"/>
        <w:left w:val="none" w:sz="0" w:space="0" w:color="auto"/>
        <w:bottom w:val="none" w:sz="0" w:space="0" w:color="auto"/>
        <w:right w:val="none" w:sz="0" w:space="0" w:color="auto"/>
      </w:divBdr>
    </w:div>
    <w:div w:id="1578435811">
      <w:bodyDiv w:val="1"/>
      <w:marLeft w:val="0"/>
      <w:marRight w:val="0"/>
      <w:marTop w:val="0"/>
      <w:marBottom w:val="0"/>
      <w:divBdr>
        <w:top w:val="none" w:sz="0" w:space="0" w:color="auto"/>
        <w:left w:val="none" w:sz="0" w:space="0" w:color="auto"/>
        <w:bottom w:val="none" w:sz="0" w:space="0" w:color="auto"/>
        <w:right w:val="none" w:sz="0" w:space="0" w:color="auto"/>
      </w:divBdr>
      <w:divsChild>
        <w:div w:id="1435126692">
          <w:marLeft w:val="288"/>
          <w:marRight w:val="0"/>
          <w:marTop w:val="0"/>
          <w:marBottom w:val="101"/>
          <w:divBdr>
            <w:top w:val="none" w:sz="0" w:space="0" w:color="auto"/>
            <w:left w:val="none" w:sz="0" w:space="0" w:color="auto"/>
            <w:bottom w:val="none" w:sz="0" w:space="0" w:color="auto"/>
            <w:right w:val="none" w:sz="0" w:space="0" w:color="auto"/>
          </w:divBdr>
        </w:div>
        <w:div w:id="1889755789">
          <w:marLeft w:val="288"/>
          <w:marRight w:val="0"/>
          <w:marTop w:val="0"/>
          <w:marBottom w:val="60"/>
          <w:divBdr>
            <w:top w:val="none" w:sz="0" w:space="0" w:color="auto"/>
            <w:left w:val="none" w:sz="0" w:space="0" w:color="auto"/>
            <w:bottom w:val="none" w:sz="0" w:space="0" w:color="auto"/>
            <w:right w:val="none" w:sz="0" w:space="0" w:color="auto"/>
          </w:divBdr>
        </w:div>
      </w:divsChild>
    </w:div>
    <w:div w:id="1582445671">
      <w:bodyDiv w:val="1"/>
      <w:marLeft w:val="0"/>
      <w:marRight w:val="0"/>
      <w:marTop w:val="0"/>
      <w:marBottom w:val="0"/>
      <w:divBdr>
        <w:top w:val="none" w:sz="0" w:space="0" w:color="auto"/>
        <w:left w:val="none" w:sz="0" w:space="0" w:color="auto"/>
        <w:bottom w:val="none" w:sz="0" w:space="0" w:color="auto"/>
        <w:right w:val="none" w:sz="0" w:space="0" w:color="auto"/>
      </w:divBdr>
    </w:div>
    <w:div w:id="1622419494">
      <w:bodyDiv w:val="1"/>
      <w:marLeft w:val="0"/>
      <w:marRight w:val="0"/>
      <w:marTop w:val="0"/>
      <w:marBottom w:val="0"/>
      <w:divBdr>
        <w:top w:val="none" w:sz="0" w:space="0" w:color="auto"/>
        <w:left w:val="none" w:sz="0" w:space="0" w:color="auto"/>
        <w:bottom w:val="none" w:sz="0" w:space="0" w:color="auto"/>
        <w:right w:val="none" w:sz="0" w:space="0" w:color="auto"/>
      </w:divBdr>
    </w:div>
    <w:div w:id="1624924456">
      <w:bodyDiv w:val="1"/>
      <w:marLeft w:val="0"/>
      <w:marRight w:val="0"/>
      <w:marTop w:val="0"/>
      <w:marBottom w:val="0"/>
      <w:divBdr>
        <w:top w:val="none" w:sz="0" w:space="0" w:color="auto"/>
        <w:left w:val="none" w:sz="0" w:space="0" w:color="auto"/>
        <w:bottom w:val="none" w:sz="0" w:space="0" w:color="auto"/>
        <w:right w:val="none" w:sz="0" w:space="0" w:color="auto"/>
      </w:divBdr>
    </w:div>
    <w:div w:id="1746075817">
      <w:bodyDiv w:val="1"/>
      <w:marLeft w:val="0"/>
      <w:marRight w:val="0"/>
      <w:marTop w:val="0"/>
      <w:marBottom w:val="0"/>
      <w:divBdr>
        <w:top w:val="none" w:sz="0" w:space="0" w:color="auto"/>
        <w:left w:val="none" w:sz="0" w:space="0" w:color="auto"/>
        <w:bottom w:val="none" w:sz="0" w:space="0" w:color="auto"/>
        <w:right w:val="none" w:sz="0" w:space="0" w:color="auto"/>
      </w:divBdr>
    </w:div>
    <w:div w:id="1807968516">
      <w:bodyDiv w:val="1"/>
      <w:marLeft w:val="0"/>
      <w:marRight w:val="0"/>
      <w:marTop w:val="0"/>
      <w:marBottom w:val="0"/>
      <w:divBdr>
        <w:top w:val="none" w:sz="0" w:space="0" w:color="auto"/>
        <w:left w:val="none" w:sz="0" w:space="0" w:color="auto"/>
        <w:bottom w:val="none" w:sz="0" w:space="0" w:color="auto"/>
        <w:right w:val="none" w:sz="0" w:space="0" w:color="auto"/>
      </w:divBdr>
    </w:div>
    <w:div w:id="1951011122">
      <w:bodyDiv w:val="1"/>
      <w:marLeft w:val="0"/>
      <w:marRight w:val="0"/>
      <w:marTop w:val="0"/>
      <w:marBottom w:val="0"/>
      <w:divBdr>
        <w:top w:val="none" w:sz="0" w:space="0" w:color="auto"/>
        <w:left w:val="none" w:sz="0" w:space="0" w:color="auto"/>
        <w:bottom w:val="none" w:sz="0" w:space="0" w:color="auto"/>
        <w:right w:val="none" w:sz="0" w:space="0" w:color="auto"/>
      </w:divBdr>
    </w:div>
    <w:div w:id="1973319460">
      <w:bodyDiv w:val="1"/>
      <w:marLeft w:val="0"/>
      <w:marRight w:val="0"/>
      <w:marTop w:val="0"/>
      <w:marBottom w:val="0"/>
      <w:divBdr>
        <w:top w:val="none" w:sz="0" w:space="0" w:color="auto"/>
        <w:left w:val="none" w:sz="0" w:space="0" w:color="auto"/>
        <w:bottom w:val="none" w:sz="0" w:space="0" w:color="auto"/>
        <w:right w:val="none" w:sz="0" w:space="0" w:color="auto"/>
      </w:divBdr>
    </w:div>
    <w:div w:id="1977444533">
      <w:bodyDiv w:val="1"/>
      <w:marLeft w:val="0"/>
      <w:marRight w:val="0"/>
      <w:marTop w:val="0"/>
      <w:marBottom w:val="0"/>
      <w:divBdr>
        <w:top w:val="none" w:sz="0" w:space="0" w:color="auto"/>
        <w:left w:val="none" w:sz="0" w:space="0" w:color="auto"/>
        <w:bottom w:val="none" w:sz="0" w:space="0" w:color="auto"/>
        <w:right w:val="none" w:sz="0" w:space="0" w:color="auto"/>
      </w:divBdr>
    </w:div>
    <w:div w:id="21419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oleObject" Target="embeddings/oleObject1.bin"/><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5.png"/><Relationship Id="rId28" Type="http://schemas.openxmlformats.org/officeDocument/2006/relationships/hyperlink" Target="http://www.transparenciapresupuestaria.gob.mx/es/PTP/Formato_Unico" TargetMode="External"/><Relationship Id="rId10" Type="http://schemas.openxmlformats.org/officeDocument/2006/relationships/chart" Target="charts/chart1.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5.xml"/><Relationship Id="rId22" Type="http://schemas.openxmlformats.org/officeDocument/2006/relationships/oleObject" Target="embeddings/oleObject3.bin"/><Relationship Id="rId27" Type="http://schemas.openxmlformats.org/officeDocument/2006/relationships/hyperlink" Target="http://transparenciapresupuestaria.gob.mx/es/PTP/Capacitacion" TargetMode="External"/><Relationship Id="rId30" Type="http://schemas.openxmlformats.org/officeDocument/2006/relationships/header" Target="head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transparenciapresupuestaria.gob.mx/work/models/PTP/Entidades_Federativas/SFU/Guia%20_de%20criterios%20_SFU%20VF_2.pdf" TargetMode="External"/><Relationship Id="rId2" Type="http://schemas.openxmlformats.org/officeDocument/2006/relationships/hyperlink" Target="http://dof.gob.mx/nota_detalle.php?codigo=5328458&amp;fecha=30/12/2013" TargetMode="External"/><Relationship Id="rId1" Type="http://schemas.openxmlformats.org/officeDocument/2006/relationships/hyperlink" Target="http://www.transparenciapresupuestaria.gob.mx/es/PTP/EntidadesFederati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elsa_bailon\Documents\SFU\Mejora%20en%20ICI%202016\Bases%20de%20datos\Tablas%20grales%20diagn&#243;stico%20ICI%204to%20tr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yeli_aguilar\Desktop\Diagnostico\Pre\Tablas%20grales%20diagn&#243;stico%20ICI%204to%20trim%20CDMX.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yeli_aguilar\AppData\Local\Microsoft\Windows\Temporary%20Internet%20Files\Content.Outlook\J8U61VVC\Tablas%20grales%20diagn&#243;stico%20ICI%204to%20trim%20(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yeli_aguilar\Desktop\Diagnostico\Pre\Tablas%20grales%20diagn&#243;stico%20ICI%204to%20trim%20CDMX.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yeli_aguilar\Desktop\Diagnostico\Pre\Tablas%20grales%20diagn&#243;stico%20ICI%204to%20trim%20CDMX.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F:\Archivo%20eleccione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F:\Archivo%20eleccione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lsa_bailon\Documents\SFU\Mejora%20en%20ICI%202016\Bases%20de%20datos\Evaluaciones%20por%20Edo%20Diagn&#243;stico%20ICI-SFU%20201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rgbClr val="C00000"/>
              </a:solidFill>
              <a:round/>
            </a:ln>
            <a:effectLst/>
          </c:spPr>
          <c:marker>
            <c:symbol val="diamond"/>
            <c:size val="4"/>
            <c:spPr>
              <a:solidFill>
                <a:srgbClr val="C00000"/>
              </a:solidFill>
              <a:ln w="19050">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ICI 2014-2015'!$C$37:$I$37</c:f>
              <c:strCache>
                <c:ptCount val="7"/>
                <c:pt idx="0">
                  <c:v>2do Trimestre 2014</c:v>
                </c:pt>
                <c:pt idx="1">
                  <c:v>3er Trimestre 2014</c:v>
                </c:pt>
                <c:pt idx="2">
                  <c:v>4to Trimestre 2014</c:v>
                </c:pt>
                <c:pt idx="3">
                  <c:v>1ro Trimestre 2015</c:v>
                </c:pt>
                <c:pt idx="4">
                  <c:v>2do Trimestre 2015</c:v>
                </c:pt>
                <c:pt idx="5">
                  <c:v>3er Trimestre 2015</c:v>
                </c:pt>
                <c:pt idx="6">
                  <c:v>4to Trimestre 2015</c:v>
                </c:pt>
              </c:strCache>
            </c:strRef>
          </c:cat>
          <c:val>
            <c:numRef>
              <c:f>'Comparativo ICI 2014-2015'!$C$38:$I$38</c:f>
              <c:numCache>
                <c:formatCode>0.00</c:formatCode>
                <c:ptCount val="7"/>
                <c:pt idx="0">
                  <c:v>0.44812499999999994</c:v>
                </c:pt>
                <c:pt idx="1">
                  <c:v>0.49468750000000006</c:v>
                </c:pt>
                <c:pt idx="2">
                  <c:v>0.52312500000000006</c:v>
                </c:pt>
                <c:pt idx="3">
                  <c:v>0.43937500000000007</c:v>
                </c:pt>
                <c:pt idx="4">
                  <c:v>0.46937499999999993</c:v>
                </c:pt>
                <c:pt idx="5">
                  <c:v>0.54000000000000015</c:v>
                </c:pt>
                <c:pt idx="6">
                  <c:v>0.63437500000000013</c:v>
                </c:pt>
              </c:numCache>
            </c:numRef>
          </c:val>
          <c:smooth val="0"/>
        </c:ser>
        <c:dLbls>
          <c:showLegendKey val="0"/>
          <c:showVal val="0"/>
          <c:showCatName val="0"/>
          <c:showSerName val="0"/>
          <c:showPercent val="0"/>
          <c:showBubbleSize val="0"/>
        </c:dLbls>
        <c:marker val="1"/>
        <c:smooth val="0"/>
        <c:axId val="261810992"/>
        <c:axId val="261809872"/>
      </c:lineChart>
      <c:catAx>
        <c:axId val="26181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1809872"/>
        <c:crosses val="autoZero"/>
        <c:auto val="1"/>
        <c:lblAlgn val="ctr"/>
        <c:lblOffset val="100"/>
        <c:noMultiLvlLbl val="0"/>
      </c:catAx>
      <c:valAx>
        <c:axId val="261809872"/>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181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ICI!$C$3</c:f>
              <c:strCache>
                <c:ptCount val="1"/>
                <c:pt idx="0">
                  <c:v>Avance Financiero</c:v>
                </c:pt>
              </c:strCache>
            </c:strRef>
          </c:tx>
          <c:spPr>
            <a:solidFill>
              <a:srgbClr val="7F9A4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ICI!$B$4:$B$35</c:f>
              <c:strCache>
                <c:ptCount val="32"/>
                <c:pt idx="0">
                  <c:v>Guerrero</c:v>
                </c:pt>
                <c:pt idx="1">
                  <c:v>Oaxaca</c:v>
                </c:pt>
                <c:pt idx="2">
                  <c:v>Jalisco</c:v>
                </c:pt>
                <c:pt idx="3">
                  <c:v>México</c:v>
                </c:pt>
                <c:pt idx="4">
                  <c:v>Michoacán </c:v>
                </c:pt>
                <c:pt idx="5">
                  <c:v>Baja California Sur</c:v>
                </c:pt>
                <c:pt idx="6">
                  <c:v>Aguascalientes</c:v>
                </c:pt>
                <c:pt idx="7">
                  <c:v>Sonora</c:v>
                </c:pt>
                <c:pt idx="8">
                  <c:v>Veracruz </c:v>
                </c:pt>
                <c:pt idx="9">
                  <c:v>Colima</c:v>
                </c:pt>
                <c:pt idx="10">
                  <c:v>Chihuahua</c:v>
                </c:pt>
                <c:pt idx="11">
                  <c:v>Nuevo León</c:v>
                </c:pt>
                <c:pt idx="12">
                  <c:v>Zacatecas</c:v>
                </c:pt>
                <c:pt idx="13">
                  <c:v>Yucatán</c:v>
                </c:pt>
                <c:pt idx="14">
                  <c:v>Sinaloa</c:v>
                </c:pt>
                <c:pt idx="15">
                  <c:v>Guanajuato</c:v>
                </c:pt>
                <c:pt idx="16">
                  <c:v>Puebla</c:v>
                </c:pt>
                <c:pt idx="17">
                  <c:v>Durango</c:v>
                </c:pt>
                <c:pt idx="18">
                  <c:v>Querétaro</c:v>
                </c:pt>
                <c:pt idx="19">
                  <c:v>Tlaxcala</c:v>
                </c:pt>
                <c:pt idx="20">
                  <c:v>Chiapas</c:v>
                </c:pt>
                <c:pt idx="21">
                  <c:v>Tabasco</c:v>
                </c:pt>
                <c:pt idx="22">
                  <c:v>Coahuila </c:v>
                </c:pt>
                <c:pt idx="23">
                  <c:v>San Luis Potosí</c:v>
                </c:pt>
                <c:pt idx="24">
                  <c:v>Baja California</c:v>
                </c:pt>
                <c:pt idx="25">
                  <c:v>Quintana Roo</c:v>
                </c:pt>
                <c:pt idx="26">
                  <c:v>Tamaulipas</c:v>
                </c:pt>
                <c:pt idx="27">
                  <c:v>Ciudad de México</c:v>
                </c:pt>
                <c:pt idx="28">
                  <c:v>Campeche</c:v>
                </c:pt>
                <c:pt idx="29">
                  <c:v>Hidalgo</c:v>
                </c:pt>
                <c:pt idx="30">
                  <c:v>Nayarit</c:v>
                </c:pt>
                <c:pt idx="31">
                  <c:v>Morelos</c:v>
                </c:pt>
              </c:strCache>
            </c:strRef>
          </c:cat>
          <c:val>
            <c:numRef>
              <c:f>ICI!$C$4:$C$35</c:f>
              <c:numCache>
                <c:formatCode>0.00</c:formatCode>
                <c:ptCount val="32"/>
                <c:pt idx="0">
                  <c:v>0.11</c:v>
                </c:pt>
                <c:pt idx="1">
                  <c:v>0.11</c:v>
                </c:pt>
                <c:pt idx="2">
                  <c:v>0.14000000000000001</c:v>
                </c:pt>
                <c:pt idx="3">
                  <c:v>0.08</c:v>
                </c:pt>
                <c:pt idx="4">
                  <c:v>0.12</c:v>
                </c:pt>
                <c:pt idx="5">
                  <c:v>0.08</c:v>
                </c:pt>
                <c:pt idx="6">
                  <c:v>0.06</c:v>
                </c:pt>
                <c:pt idx="7">
                  <c:v>0.11</c:v>
                </c:pt>
                <c:pt idx="8">
                  <c:v>0.12</c:v>
                </c:pt>
                <c:pt idx="9">
                  <c:v>0.12</c:v>
                </c:pt>
                <c:pt idx="10">
                  <c:v>0.13</c:v>
                </c:pt>
                <c:pt idx="11">
                  <c:v>0.13</c:v>
                </c:pt>
                <c:pt idx="12">
                  <c:v>0.17</c:v>
                </c:pt>
                <c:pt idx="13">
                  <c:v>0.14000000000000001</c:v>
                </c:pt>
                <c:pt idx="14">
                  <c:v>0.18</c:v>
                </c:pt>
                <c:pt idx="15">
                  <c:v>0.12</c:v>
                </c:pt>
                <c:pt idx="16">
                  <c:v>0.19</c:v>
                </c:pt>
                <c:pt idx="17">
                  <c:v>0.23</c:v>
                </c:pt>
                <c:pt idx="18">
                  <c:v>0.17</c:v>
                </c:pt>
                <c:pt idx="19">
                  <c:v>0.24</c:v>
                </c:pt>
                <c:pt idx="20">
                  <c:v>0.24</c:v>
                </c:pt>
                <c:pt idx="21">
                  <c:v>0.25</c:v>
                </c:pt>
                <c:pt idx="22">
                  <c:v>0.19</c:v>
                </c:pt>
                <c:pt idx="23">
                  <c:v>0.33</c:v>
                </c:pt>
                <c:pt idx="24">
                  <c:v>0.18</c:v>
                </c:pt>
                <c:pt idx="25">
                  <c:v>0.23</c:v>
                </c:pt>
                <c:pt idx="26">
                  <c:v>0.3</c:v>
                </c:pt>
                <c:pt idx="27">
                  <c:v>0.18</c:v>
                </c:pt>
                <c:pt idx="28">
                  <c:v>0.28999999999999998</c:v>
                </c:pt>
                <c:pt idx="29">
                  <c:v>0.28999999999999998</c:v>
                </c:pt>
                <c:pt idx="30">
                  <c:v>0.27</c:v>
                </c:pt>
                <c:pt idx="31">
                  <c:v>0.33</c:v>
                </c:pt>
              </c:numCache>
            </c:numRef>
          </c:val>
        </c:ser>
        <c:ser>
          <c:idx val="2"/>
          <c:order val="1"/>
          <c:tx>
            <c:strRef>
              <c:f>ICI!$D$3</c:f>
              <c:strCache>
                <c:ptCount val="1"/>
                <c:pt idx="0">
                  <c:v>Gestión de Proyectos</c:v>
                </c:pt>
              </c:strCache>
            </c:strRef>
          </c:tx>
          <c:spPr>
            <a:solidFill>
              <a:srgbClr val="C6D6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ICI!$B$4:$B$35</c:f>
              <c:strCache>
                <c:ptCount val="32"/>
                <c:pt idx="0">
                  <c:v>Guerrero</c:v>
                </c:pt>
                <c:pt idx="1">
                  <c:v>Oaxaca</c:v>
                </c:pt>
                <c:pt idx="2">
                  <c:v>Jalisco</c:v>
                </c:pt>
                <c:pt idx="3">
                  <c:v>México</c:v>
                </c:pt>
                <c:pt idx="4">
                  <c:v>Michoacán </c:v>
                </c:pt>
                <c:pt idx="5">
                  <c:v>Baja California Sur</c:v>
                </c:pt>
                <c:pt idx="6">
                  <c:v>Aguascalientes</c:v>
                </c:pt>
                <c:pt idx="7">
                  <c:v>Sonora</c:v>
                </c:pt>
                <c:pt idx="8">
                  <c:v>Veracruz </c:v>
                </c:pt>
                <c:pt idx="9">
                  <c:v>Colima</c:v>
                </c:pt>
                <c:pt idx="10">
                  <c:v>Chihuahua</c:v>
                </c:pt>
                <c:pt idx="11">
                  <c:v>Nuevo León</c:v>
                </c:pt>
                <c:pt idx="12">
                  <c:v>Zacatecas</c:v>
                </c:pt>
                <c:pt idx="13">
                  <c:v>Yucatán</c:v>
                </c:pt>
                <c:pt idx="14">
                  <c:v>Sinaloa</c:v>
                </c:pt>
                <c:pt idx="15">
                  <c:v>Guanajuato</c:v>
                </c:pt>
                <c:pt idx="16">
                  <c:v>Puebla</c:v>
                </c:pt>
                <c:pt idx="17">
                  <c:v>Durango</c:v>
                </c:pt>
                <c:pt idx="18">
                  <c:v>Querétaro</c:v>
                </c:pt>
                <c:pt idx="19">
                  <c:v>Tlaxcala</c:v>
                </c:pt>
                <c:pt idx="20">
                  <c:v>Chiapas</c:v>
                </c:pt>
                <c:pt idx="21">
                  <c:v>Tabasco</c:v>
                </c:pt>
                <c:pt idx="22">
                  <c:v>Coahuila </c:v>
                </c:pt>
                <c:pt idx="23">
                  <c:v>San Luis Potosí</c:v>
                </c:pt>
                <c:pt idx="24">
                  <c:v>Baja California</c:v>
                </c:pt>
                <c:pt idx="25">
                  <c:v>Quintana Roo</c:v>
                </c:pt>
                <c:pt idx="26">
                  <c:v>Tamaulipas</c:v>
                </c:pt>
                <c:pt idx="27">
                  <c:v>Ciudad de México</c:v>
                </c:pt>
                <c:pt idx="28">
                  <c:v>Campeche</c:v>
                </c:pt>
                <c:pt idx="29">
                  <c:v>Hidalgo</c:v>
                </c:pt>
                <c:pt idx="30">
                  <c:v>Nayarit</c:v>
                </c:pt>
                <c:pt idx="31">
                  <c:v>Morelos</c:v>
                </c:pt>
              </c:strCache>
            </c:strRef>
          </c:cat>
          <c:val>
            <c:numRef>
              <c:f>ICI!$D$4:$D$35</c:f>
              <c:numCache>
                <c:formatCode>0.00</c:formatCode>
                <c:ptCount val="32"/>
                <c:pt idx="0">
                  <c:v>0.16</c:v>
                </c:pt>
                <c:pt idx="1">
                  <c:v>0.24</c:v>
                </c:pt>
                <c:pt idx="2">
                  <c:v>0.19</c:v>
                </c:pt>
                <c:pt idx="3">
                  <c:v>0.24</c:v>
                </c:pt>
                <c:pt idx="4">
                  <c:v>0.23</c:v>
                </c:pt>
                <c:pt idx="5">
                  <c:v>0.32</c:v>
                </c:pt>
                <c:pt idx="6">
                  <c:v>0.28999999999999998</c:v>
                </c:pt>
                <c:pt idx="7">
                  <c:v>0.28999999999999998</c:v>
                </c:pt>
                <c:pt idx="8">
                  <c:v>0.27</c:v>
                </c:pt>
                <c:pt idx="9">
                  <c:v>0.28999999999999998</c:v>
                </c:pt>
                <c:pt idx="10">
                  <c:v>0.25</c:v>
                </c:pt>
                <c:pt idx="11">
                  <c:v>0.32</c:v>
                </c:pt>
                <c:pt idx="12">
                  <c:v>0.27</c:v>
                </c:pt>
                <c:pt idx="13">
                  <c:v>0.28000000000000003</c:v>
                </c:pt>
                <c:pt idx="14">
                  <c:v>0.3</c:v>
                </c:pt>
                <c:pt idx="15">
                  <c:v>0.28999999999999998</c:v>
                </c:pt>
                <c:pt idx="16">
                  <c:v>0.25</c:v>
                </c:pt>
                <c:pt idx="17">
                  <c:v>0.32</c:v>
                </c:pt>
                <c:pt idx="18">
                  <c:v>0.32</c:v>
                </c:pt>
                <c:pt idx="19">
                  <c:v>0.25</c:v>
                </c:pt>
                <c:pt idx="20">
                  <c:v>0.22</c:v>
                </c:pt>
                <c:pt idx="21">
                  <c:v>0.28999999999999998</c:v>
                </c:pt>
                <c:pt idx="22">
                  <c:v>0.33</c:v>
                </c:pt>
                <c:pt idx="23">
                  <c:v>0.22</c:v>
                </c:pt>
                <c:pt idx="24">
                  <c:v>0.33</c:v>
                </c:pt>
                <c:pt idx="25">
                  <c:v>0.32</c:v>
                </c:pt>
                <c:pt idx="26">
                  <c:v>0.31</c:v>
                </c:pt>
                <c:pt idx="27">
                  <c:v>0.33</c:v>
                </c:pt>
                <c:pt idx="28">
                  <c:v>0.33</c:v>
                </c:pt>
                <c:pt idx="29">
                  <c:v>0.32</c:v>
                </c:pt>
                <c:pt idx="30">
                  <c:v>0.31</c:v>
                </c:pt>
                <c:pt idx="31">
                  <c:v>0.32</c:v>
                </c:pt>
              </c:numCache>
            </c:numRef>
          </c:val>
        </c:ser>
        <c:ser>
          <c:idx val="1"/>
          <c:order val="2"/>
          <c:tx>
            <c:strRef>
              <c:f>ICI!$E$3</c:f>
              <c:strCache>
                <c:ptCount val="1"/>
                <c:pt idx="0">
                  <c:v>Indicadores</c:v>
                </c:pt>
              </c:strCache>
            </c:strRef>
          </c:tx>
          <c:spPr>
            <a:solidFill>
              <a:srgbClr val="9BBB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ICI!$E$4:$E$35</c:f>
              <c:numCache>
                <c:formatCode>0.00</c:formatCode>
                <c:ptCount val="32"/>
                <c:pt idx="0">
                  <c:v>0.08</c:v>
                </c:pt>
                <c:pt idx="1">
                  <c:v>0.13</c:v>
                </c:pt>
                <c:pt idx="2">
                  <c:v>0.15</c:v>
                </c:pt>
                <c:pt idx="3">
                  <c:v>0.17</c:v>
                </c:pt>
                <c:pt idx="4">
                  <c:v>0.14000000000000001</c:v>
                </c:pt>
                <c:pt idx="5">
                  <c:v>0.12</c:v>
                </c:pt>
                <c:pt idx="6">
                  <c:v>0.18</c:v>
                </c:pt>
                <c:pt idx="7">
                  <c:v>0.13</c:v>
                </c:pt>
                <c:pt idx="8">
                  <c:v>0.14000000000000001</c:v>
                </c:pt>
                <c:pt idx="9">
                  <c:v>0.13</c:v>
                </c:pt>
                <c:pt idx="10">
                  <c:v>0.19</c:v>
                </c:pt>
                <c:pt idx="11">
                  <c:v>0.12</c:v>
                </c:pt>
                <c:pt idx="12">
                  <c:v>0.13</c:v>
                </c:pt>
                <c:pt idx="13">
                  <c:v>0.16</c:v>
                </c:pt>
                <c:pt idx="14">
                  <c:v>0.11</c:v>
                </c:pt>
                <c:pt idx="15">
                  <c:v>0.2</c:v>
                </c:pt>
                <c:pt idx="16">
                  <c:v>0.21</c:v>
                </c:pt>
                <c:pt idx="17">
                  <c:v>0.12</c:v>
                </c:pt>
                <c:pt idx="18">
                  <c:v>0.19</c:v>
                </c:pt>
                <c:pt idx="19">
                  <c:v>0.19</c:v>
                </c:pt>
                <c:pt idx="20">
                  <c:v>0.23</c:v>
                </c:pt>
                <c:pt idx="21">
                  <c:v>0.17</c:v>
                </c:pt>
                <c:pt idx="22">
                  <c:v>0.2</c:v>
                </c:pt>
                <c:pt idx="23">
                  <c:v>0.17</c:v>
                </c:pt>
                <c:pt idx="24">
                  <c:v>0.22</c:v>
                </c:pt>
                <c:pt idx="25">
                  <c:v>0.18</c:v>
                </c:pt>
                <c:pt idx="26">
                  <c:v>0.15</c:v>
                </c:pt>
                <c:pt idx="27">
                  <c:v>0.28999999999999998</c:v>
                </c:pt>
                <c:pt idx="28">
                  <c:v>0.19</c:v>
                </c:pt>
                <c:pt idx="29">
                  <c:v>0.2</c:v>
                </c:pt>
                <c:pt idx="30">
                  <c:v>0.26</c:v>
                </c:pt>
                <c:pt idx="31">
                  <c:v>0.22</c:v>
                </c:pt>
              </c:numCache>
            </c:numRef>
          </c:val>
        </c:ser>
        <c:ser>
          <c:idx val="3"/>
          <c:order val="3"/>
          <c:spPr>
            <a:solidFill>
              <a:schemeClr val="accent4"/>
            </a:solidFill>
            <a:ln>
              <a:noFill/>
            </a:ln>
            <a:effectLst/>
          </c:spPr>
          <c:invertIfNegative val="0"/>
          <c:dLbls>
            <c:dLbl>
              <c:idx val="0"/>
              <c:tx>
                <c:rich>
                  <a:bodyPr/>
                  <a:lstStyle/>
                  <a:p>
                    <a:r>
                      <a:rPr lang="en-US"/>
                      <a:t>0.35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0.48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0.48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0.49</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0.49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0.52</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0.53</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0.53</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0.53</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0.54</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0.57</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extLst>
            </c:dLbl>
            <c:dLbl>
              <c:idx val="11"/>
              <c:layout>
                <c:manualLayout>
                  <c:x val="2.1023705469474241E-3"/>
                  <c:y val="0"/>
                </c:manualLayout>
              </c:layout>
              <c:tx>
                <c:rich>
                  <a:bodyPr/>
                  <a:lstStyle/>
                  <a:p>
                    <a:r>
                      <a:rPr lang="en-US" sz="900" b="0" i="0" u="none" strike="noStrike" kern="1200" baseline="0">
                        <a:solidFill>
                          <a:sysClr val="windowText" lastClr="000000">
                            <a:lumMod val="75000"/>
                            <a:lumOff val="25000"/>
                          </a:sysClr>
                        </a:solidFill>
                      </a:rPr>
                      <a:t>0.57</a:t>
                    </a:r>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0.57</a:t>
                    </a:r>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0.58</a:t>
                    </a:r>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0.59</a:t>
                    </a:r>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0.61</a:t>
                    </a:r>
                  </a:p>
                </c:rich>
              </c:tx>
              <c:showLegendKey val="0"/>
              <c:showVal val="1"/>
              <c:showCatName val="0"/>
              <c:showSerName val="0"/>
              <c:showPercent val="0"/>
              <c:showBubbleSize val="0"/>
              <c:extLst>
                <c:ext xmlns:c15="http://schemas.microsoft.com/office/drawing/2012/chart" uri="{CE6537A1-D6FC-4f65-9D91-7224C49458BB}"/>
              </c:extLst>
            </c:dLbl>
            <c:dLbl>
              <c:idx val="16"/>
              <c:tx>
                <c:rich>
                  <a:bodyPr/>
                  <a:lstStyle/>
                  <a:p>
                    <a:r>
                      <a:rPr lang="en-US"/>
                      <a:t>0.65</a:t>
                    </a:r>
                  </a:p>
                </c:rich>
              </c:tx>
              <c:showLegendKey val="0"/>
              <c:showVal val="1"/>
              <c:showCatName val="0"/>
              <c:showSerName val="0"/>
              <c:showPercent val="0"/>
              <c:showBubbleSize val="0"/>
              <c:extLst>
                <c:ext xmlns:c15="http://schemas.microsoft.com/office/drawing/2012/chart" uri="{CE6537A1-D6FC-4f65-9D91-7224C49458BB}"/>
              </c:extLst>
            </c:dLbl>
            <c:dLbl>
              <c:idx val="17"/>
              <c:tx>
                <c:rich>
                  <a:bodyPr/>
                  <a:lstStyle/>
                  <a:p>
                    <a:r>
                      <a:rPr lang="en-US"/>
                      <a:t>0.67</a:t>
                    </a:r>
                  </a:p>
                </c:rich>
              </c:tx>
              <c:showLegendKey val="0"/>
              <c:showVal val="1"/>
              <c:showCatName val="0"/>
              <c:showSerName val="0"/>
              <c:showPercent val="0"/>
              <c:showBubbleSize val="0"/>
              <c:extLst>
                <c:ext xmlns:c15="http://schemas.microsoft.com/office/drawing/2012/chart" uri="{CE6537A1-D6FC-4f65-9D91-7224C49458BB}"/>
              </c:extLst>
            </c:dLbl>
            <c:dLbl>
              <c:idx val="18"/>
              <c:tx>
                <c:rich>
                  <a:bodyPr rot="0" spcFirstLastPara="1" vertOverflow="ellipsis" vert="horz" wrap="square" lIns="38100" tIns="19050" rIns="38100" bIns="19050" anchor="ctr" anchorCtr="0">
                    <a:noAutofit/>
                  </a:bodyPr>
                  <a:lstStyle/>
                  <a:p>
                    <a:pPr algn="ctr" rtl="0">
                      <a:defRPr lang="en-US"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latin typeface="+mn-lt"/>
                        <a:ea typeface="+mn-ea"/>
                        <a:cs typeface="+mn-cs"/>
                      </a:rPr>
                      <a:t>0.68</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9"/>
              <c:tx>
                <c:rich>
                  <a:bodyPr/>
                  <a:lstStyle/>
                  <a:p>
                    <a:r>
                      <a:rPr lang="en-US"/>
                      <a:t>0.68</a:t>
                    </a:r>
                  </a:p>
                </c:rich>
              </c:tx>
              <c:showLegendKey val="0"/>
              <c:showVal val="1"/>
              <c:showCatName val="0"/>
              <c:showSerName val="0"/>
              <c:showPercent val="0"/>
              <c:showBubbleSize val="0"/>
              <c:extLst>
                <c:ext xmlns:c15="http://schemas.microsoft.com/office/drawing/2012/chart" uri="{CE6537A1-D6FC-4f65-9D91-7224C49458BB}"/>
              </c:extLst>
            </c:dLbl>
            <c:dLbl>
              <c:idx val="20"/>
              <c:tx>
                <c:rich>
                  <a:bodyPr/>
                  <a:lstStyle/>
                  <a:p>
                    <a:r>
                      <a:rPr lang="en-US"/>
                      <a:t>0.69</a:t>
                    </a:r>
                  </a:p>
                </c:rich>
              </c:tx>
              <c:showLegendKey val="0"/>
              <c:showVal val="1"/>
              <c:showCatName val="0"/>
              <c:showSerName val="0"/>
              <c:showPercent val="0"/>
              <c:showBubbleSize val="0"/>
              <c:extLst>
                <c:ext xmlns:c15="http://schemas.microsoft.com/office/drawing/2012/chart" uri="{CE6537A1-D6FC-4f65-9D91-7224C49458BB}"/>
              </c:extLst>
            </c:dLbl>
            <c:dLbl>
              <c:idx val="2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0.71</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22"/>
              <c:tx>
                <c:rich>
                  <a:bodyPr/>
                  <a:lstStyle/>
                  <a:p>
                    <a:r>
                      <a:rPr lang="en-US" sz="800" b="0" i="0" u="none" strike="noStrike" kern="1200" baseline="0">
                        <a:solidFill>
                          <a:sysClr val="windowText" lastClr="000000">
                            <a:lumMod val="75000"/>
                            <a:lumOff val="25000"/>
                          </a:sysClr>
                        </a:solidFill>
                      </a:rPr>
                      <a:t>0.72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3"/>
              <c:tx>
                <c:rich>
                  <a:bodyPr/>
                  <a:lstStyle/>
                  <a:p>
                    <a:r>
                      <a:rPr lang="en-US"/>
                      <a:t>0.72</a:t>
                    </a:r>
                  </a:p>
                </c:rich>
              </c:tx>
              <c:showLegendKey val="0"/>
              <c:showVal val="1"/>
              <c:showCatName val="0"/>
              <c:showSerName val="0"/>
              <c:showPercent val="0"/>
              <c:showBubbleSize val="0"/>
              <c:extLst>
                <c:ext xmlns:c15="http://schemas.microsoft.com/office/drawing/2012/chart" uri="{CE6537A1-D6FC-4f65-9D91-7224C49458BB}"/>
              </c:extLst>
            </c:dLbl>
            <c:dLbl>
              <c:idx val="24"/>
              <c:tx>
                <c:rich>
                  <a:bodyPr/>
                  <a:lstStyle/>
                  <a:p>
                    <a:r>
                      <a:rPr lang="en-US" sz="800" b="0" i="0" u="none" strike="noStrike" kern="1200" baseline="0">
                        <a:solidFill>
                          <a:sysClr val="windowText" lastClr="000000">
                            <a:lumMod val="75000"/>
                            <a:lumOff val="25000"/>
                          </a:sysClr>
                        </a:solidFill>
                      </a:rPr>
                      <a:t>0.73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5"/>
              <c:tx>
                <c:rich>
                  <a:bodyPr/>
                  <a:lstStyle/>
                  <a:p>
                    <a:r>
                      <a:rPr lang="en-US"/>
                      <a:t>0.73</a:t>
                    </a:r>
                  </a:p>
                </c:rich>
              </c:tx>
              <c:showLegendKey val="0"/>
              <c:showVal val="1"/>
              <c:showCatName val="0"/>
              <c:showSerName val="0"/>
              <c:showPercent val="0"/>
              <c:showBubbleSize val="0"/>
              <c:extLst>
                <c:ext xmlns:c15="http://schemas.microsoft.com/office/drawing/2012/chart" uri="{CE6537A1-D6FC-4f65-9D91-7224C49458BB}"/>
              </c:extLst>
            </c:dLbl>
            <c:dLbl>
              <c:idx val="26"/>
              <c:tx>
                <c:rich>
                  <a:bodyPr/>
                  <a:lstStyle/>
                  <a:p>
                    <a:r>
                      <a:rPr lang="en-US"/>
                      <a:t>0.76</a:t>
                    </a:r>
                  </a:p>
                </c:rich>
              </c:tx>
              <c:showLegendKey val="0"/>
              <c:showVal val="1"/>
              <c:showCatName val="0"/>
              <c:showSerName val="0"/>
              <c:showPercent val="0"/>
              <c:showBubbleSize val="0"/>
              <c:extLst>
                <c:ext xmlns:c15="http://schemas.microsoft.com/office/drawing/2012/chart" uri="{CE6537A1-D6FC-4f65-9D91-7224C49458BB}"/>
              </c:extLst>
            </c:dLbl>
            <c:dLbl>
              <c:idx val="27"/>
              <c:tx>
                <c:rich>
                  <a:bodyPr/>
                  <a:lstStyle/>
                  <a:p>
                    <a:r>
                      <a:rPr lang="en-US"/>
                      <a:t>0.80</a:t>
                    </a:r>
                  </a:p>
                </c:rich>
              </c:tx>
              <c:showLegendKey val="0"/>
              <c:showVal val="1"/>
              <c:showCatName val="0"/>
              <c:showSerName val="0"/>
              <c:showPercent val="0"/>
              <c:showBubbleSize val="0"/>
              <c:extLst>
                <c:ext xmlns:c15="http://schemas.microsoft.com/office/drawing/2012/chart" uri="{CE6537A1-D6FC-4f65-9D91-7224C49458BB}"/>
              </c:extLst>
            </c:dLbl>
            <c:dLbl>
              <c:idx val="28"/>
              <c:tx>
                <c:rich>
                  <a:bodyPr/>
                  <a:lstStyle/>
                  <a:p>
                    <a:r>
                      <a:rPr lang="en-US"/>
                      <a:t>0.81</a:t>
                    </a:r>
                  </a:p>
                </c:rich>
              </c:tx>
              <c:showLegendKey val="0"/>
              <c:showVal val="1"/>
              <c:showCatName val="0"/>
              <c:showSerName val="0"/>
              <c:showPercent val="0"/>
              <c:showBubbleSize val="0"/>
              <c:extLst>
                <c:ext xmlns:c15="http://schemas.microsoft.com/office/drawing/2012/chart" uri="{CE6537A1-D6FC-4f65-9D91-7224C49458BB}"/>
              </c:extLst>
            </c:dLbl>
            <c:dLbl>
              <c:idx val="29"/>
              <c:tx>
                <c:rich>
                  <a:bodyPr/>
                  <a:lstStyle/>
                  <a:p>
                    <a:r>
                      <a:rPr lang="en-US"/>
                      <a:t>0.81</a:t>
                    </a:r>
                  </a:p>
                </c:rich>
              </c:tx>
              <c:showLegendKey val="0"/>
              <c:showVal val="1"/>
              <c:showCatName val="0"/>
              <c:showSerName val="0"/>
              <c:showPercent val="0"/>
              <c:showBubbleSize val="0"/>
              <c:extLst>
                <c:ext xmlns:c15="http://schemas.microsoft.com/office/drawing/2012/chart" uri="{CE6537A1-D6FC-4f65-9D91-7224C49458BB}"/>
              </c:extLst>
            </c:dLbl>
            <c:dLbl>
              <c:idx val="30"/>
              <c:tx>
                <c:rich>
                  <a:bodyPr/>
                  <a:lstStyle/>
                  <a:p>
                    <a:r>
                      <a:rPr lang="en-US"/>
                      <a:t>0.84</a:t>
                    </a:r>
                  </a:p>
                </c:rich>
              </c:tx>
              <c:showLegendKey val="0"/>
              <c:showVal val="1"/>
              <c:showCatName val="0"/>
              <c:showSerName val="0"/>
              <c:showPercent val="0"/>
              <c:showBubbleSize val="0"/>
              <c:extLst>
                <c:ext xmlns:c15="http://schemas.microsoft.com/office/drawing/2012/chart" uri="{CE6537A1-D6FC-4f65-9D91-7224C49458BB}"/>
              </c:extLst>
            </c:dLbl>
            <c:dLbl>
              <c:idx val="31"/>
              <c:tx>
                <c:rich>
                  <a:bodyPr/>
                  <a:lstStyle/>
                  <a:p>
                    <a:r>
                      <a:rPr lang="en-US"/>
                      <a:t>0.87</a:t>
                    </a:r>
                  </a:p>
                </c:rich>
              </c:tx>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ICI!$G$4:$G$35</c:f>
              <c:numCache>
                <c:formatCode>0.00</c:formatCode>
                <c:ptCount val="32"/>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numCache>
            </c:numRef>
          </c:val>
        </c:ser>
        <c:dLbls>
          <c:showLegendKey val="0"/>
          <c:showVal val="0"/>
          <c:showCatName val="0"/>
          <c:showSerName val="0"/>
          <c:showPercent val="0"/>
          <c:showBubbleSize val="0"/>
        </c:dLbls>
        <c:gapWidth val="150"/>
        <c:overlap val="100"/>
        <c:axId val="261815472"/>
        <c:axId val="248148240"/>
      </c:barChart>
      <c:catAx>
        <c:axId val="26181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8148240"/>
        <c:crosses val="autoZero"/>
        <c:auto val="1"/>
        <c:lblAlgn val="ctr"/>
        <c:lblOffset val="100"/>
        <c:noMultiLvlLbl val="0"/>
      </c:catAx>
      <c:valAx>
        <c:axId val="2481482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1815472"/>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Tasa de crecimiento del ICI 2015 en relación con la línea base</a:t>
            </a:r>
            <a:endParaRPr lang="es-MX"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'Comparativo ICI 2014-2015'!$R$4</c:f>
              <c:strCache>
                <c:ptCount val="1"/>
                <c:pt idx="0">
                  <c:v>Tasa de crecimiento cuarto trimestre 2015 respecto al 2do 2014</c:v>
                </c:pt>
              </c:strCache>
            </c:strRef>
          </c:tx>
          <c:spPr>
            <a:solidFill>
              <a:schemeClr val="accent3">
                <a:lumMod val="75000"/>
              </a:schemeClr>
            </a:solidFill>
            <a:ln>
              <a:noFill/>
            </a:ln>
            <a:effectLst/>
          </c:spPr>
          <c:invertIfNegative val="0"/>
          <c:dPt>
            <c:idx val="31"/>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ICI 2014-2015'!$Q$5:$Q$36</c:f>
              <c:strCache>
                <c:ptCount val="32"/>
                <c:pt idx="0">
                  <c:v>Hidalgo</c:v>
                </c:pt>
                <c:pt idx="1">
                  <c:v>Chiapas</c:v>
                </c:pt>
                <c:pt idx="2">
                  <c:v>Oaxaca</c:v>
                </c:pt>
                <c:pt idx="3">
                  <c:v>Nayarit</c:v>
                </c:pt>
                <c:pt idx="4">
                  <c:v>Michoacán</c:v>
                </c:pt>
                <c:pt idx="5">
                  <c:v>Zacatecas</c:v>
                </c:pt>
                <c:pt idx="6">
                  <c:v>Colima</c:v>
                </c:pt>
                <c:pt idx="7">
                  <c:v>Puebla</c:v>
                </c:pt>
                <c:pt idx="8">
                  <c:v>Morelos</c:v>
                </c:pt>
                <c:pt idx="9">
                  <c:v>Sonora</c:v>
                </c:pt>
                <c:pt idx="10">
                  <c:v>Durango</c:v>
                </c:pt>
                <c:pt idx="11">
                  <c:v>Chihuahua</c:v>
                </c:pt>
                <c:pt idx="12">
                  <c:v>Ciudad de México</c:v>
                </c:pt>
                <c:pt idx="13">
                  <c:v>Coahuila</c:v>
                </c:pt>
                <c:pt idx="14">
                  <c:v>Tamaulipas</c:v>
                </c:pt>
                <c:pt idx="15">
                  <c:v>Baja California</c:v>
                </c:pt>
                <c:pt idx="16">
                  <c:v>Quintana Roo</c:v>
                </c:pt>
                <c:pt idx="17">
                  <c:v>Aguascalientes</c:v>
                </c:pt>
                <c:pt idx="18">
                  <c:v>Sinaloa</c:v>
                </c:pt>
                <c:pt idx="19">
                  <c:v>Yucatán</c:v>
                </c:pt>
                <c:pt idx="20">
                  <c:v>Tabasco</c:v>
                </c:pt>
                <c:pt idx="21">
                  <c:v>Jalisco</c:v>
                </c:pt>
                <c:pt idx="22">
                  <c:v>Baja California Sur</c:v>
                </c:pt>
                <c:pt idx="23">
                  <c:v>Tlaxcala</c:v>
                </c:pt>
                <c:pt idx="24">
                  <c:v>Veracruz</c:v>
                </c:pt>
                <c:pt idx="25">
                  <c:v>México</c:v>
                </c:pt>
                <c:pt idx="26">
                  <c:v>San Luis Potosí</c:v>
                </c:pt>
                <c:pt idx="27">
                  <c:v>Campeche</c:v>
                </c:pt>
                <c:pt idx="28">
                  <c:v>Querétaro</c:v>
                </c:pt>
                <c:pt idx="29">
                  <c:v>Guanajuato</c:v>
                </c:pt>
                <c:pt idx="30">
                  <c:v>Nuevo León</c:v>
                </c:pt>
                <c:pt idx="31">
                  <c:v>Guerrero</c:v>
                </c:pt>
              </c:strCache>
            </c:strRef>
          </c:cat>
          <c:val>
            <c:numRef>
              <c:f>'Comparativo ICI 2014-2015'!$R$5:$R$36</c:f>
              <c:numCache>
                <c:formatCode>0.0%</c:formatCode>
                <c:ptCount val="32"/>
                <c:pt idx="0">
                  <c:v>1.1891891891891895</c:v>
                </c:pt>
                <c:pt idx="1">
                  <c:v>1.0909090909090908</c:v>
                </c:pt>
                <c:pt idx="2">
                  <c:v>1.0869565217391304</c:v>
                </c:pt>
                <c:pt idx="3">
                  <c:v>0.90909090909090939</c:v>
                </c:pt>
                <c:pt idx="4">
                  <c:v>0.81481481481481466</c:v>
                </c:pt>
                <c:pt idx="5">
                  <c:v>0.72727272727272729</c:v>
                </c:pt>
                <c:pt idx="6">
                  <c:v>0.6875</c:v>
                </c:pt>
                <c:pt idx="7">
                  <c:v>0.58536585365853644</c:v>
                </c:pt>
                <c:pt idx="8">
                  <c:v>0.58181818181818179</c:v>
                </c:pt>
                <c:pt idx="9">
                  <c:v>0.55882352941176494</c:v>
                </c:pt>
                <c:pt idx="10">
                  <c:v>0.55813953488372081</c:v>
                </c:pt>
                <c:pt idx="11">
                  <c:v>0.54054054054054079</c:v>
                </c:pt>
                <c:pt idx="12">
                  <c:v>0.4814814814814814</c:v>
                </c:pt>
                <c:pt idx="13">
                  <c:v>0.43999999999999995</c:v>
                </c:pt>
                <c:pt idx="14">
                  <c:v>0.4339622641509433</c:v>
                </c:pt>
                <c:pt idx="15">
                  <c:v>0.40384615384615374</c:v>
                </c:pt>
                <c:pt idx="16">
                  <c:v>0.40384615384615374</c:v>
                </c:pt>
                <c:pt idx="17">
                  <c:v>0.39473684210526327</c:v>
                </c:pt>
                <c:pt idx="18">
                  <c:v>0.37209302325581373</c:v>
                </c:pt>
                <c:pt idx="19">
                  <c:v>0.34883720930232553</c:v>
                </c:pt>
                <c:pt idx="20">
                  <c:v>0.33962264150943389</c:v>
                </c:pt>
                <c:pt idx="21">
                  <c:v>0.33333333333333348</c:v>
                </c:pt>
                <c:pt idx="22">
                  <c:v>0.30000000000000004</c:v>
                </c:pt>
                <c:pt idx="23">
                  <c:v>0.28301886792452802</c:v>
                </c:pt>
                <c:pt idx="24">
                  <c:v>0.26190476190476186</c:v>
                </c:pt>
                <c:pt idx="25">
                  <c:v>0.25641025641025639</c:v>
                </c:pt>
                <c:pt idx="26">
                  <c:v>0.18032786885245899</c:v>
                </c:pt>
                <c:pt idx="27">
                  <c:v>0.14084507042253525</c:v>
                </c:pt>
                <c:pt idx="28">
                  <c:v>0.1333333333333333</c:v>
                </c:pt>
                <c:pt idx="29">
                  <c:v>8.9285714285714191E-2</c:v>
                </c:pt>
                <c:pt idx="30">
                  <c:v>1.7857142857142794E-2</c:v>
                </c:pt>
                <c:pt idx="31">
                  <c:v>-0.18604651162790709</c:v>
                </c:pt>
              </c:numCache>
            </c:numRef>
          </c:val>
        </c:ser>
        <c:dLbls>
          <c:showLegendKey val="0"/>
          <c:showVal val="0"/>
          <c:showCatName val="0"/>
          <c:showSerName val="0"/>
          <c:showPercent val="0"/>
          <c:showBubbleSize val="0"/>
        </c:dLbls>
        <c:gapWidth val="182"/>
        <c:axId val="249716288"/>
        <c:axId val="249716848"/>
      </c:barChart>
      <c:catAx>
        <c:axId val="24971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16848"/>
        <c:crosses val="autoZero"/>
        <c:auto val="1"/>
        <c:lblAlgn val="ctr"/>
        <c:lblOffset val="100"/>
        <c:noMultiLvlLbl val="0"/>
      </c:catAx>
      <c:valAx>
        <c:axId val="2497168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1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dPt>
          <c:dPt>
            <c:idx val="1"/>
            <c:invertIfNegative val="0"/>
            <c:bubble3D val="0"/>
            <c:spPr>
              <a:solidFill>
                <a:srgbClr val="C00000"/>
              </a:solidFill>
              <a:ln>
                <a:noFill/>
              </a:ln>
              <a:effectLst/>
            </c:spPr>
          </c:dPt>
          <c:dPt>
            <c:idx val="2"/>
            <c:invertIfNegative val="0"/>
            <c:bubble3D val="0"/>
            <c:spPr>
              <a:solidFill>
                <a:srgbClr val="C00000"/>
              </a:solidFill>
              <a:ln>
                <a:noFill/>
              </a:ln>
              <a:effectLst/>
            </c:spPr>
          </c:dPt>
          <c:dPt>
            <c:idx val="3"/>
            <c:invertIfNegative val="0"/>
            <c:bubble3D val="0"/>
            <c:spPr>
              <a:solidFill>
                <a:srgbClr val="C00000"/>
              </a:solidFill>
              <a:ln>
                <a:noFill/>
              </a:ln>
              <a:effectLst/>
            </c:spPr>
          </c:dPt>
          <c:dPt>
            <c:idx val="4"/>
            <c:invertIfNegative val="0"/>
            <c:bubble3D val="0"/>
            <c:spPr>
              <a:solidFill>
                <a:srgbClr val="C00000"/>
              </a:solidFill>
              <a:ln>
                <a:noFill/>
              </a:ln>
              <a:effectLst/>
            </c:spPr>
          </c:dPt>
          <c:dPt>
            <c:idx val="5"/>
            <c:invertIfNegative val="0"/>
            <c:bubble3D val="0"/>
            <c:spPr>
              <a:solidFill>
                <a:srgbClr val="C00000"/>
              </a:solidFill>
              <a:ln>
                <a:noFill/>
              </a:ln>
              <a:effectLst/>
            </c:spPr>
          </c:dPt>
          <c:dPt>
            <c:idx val="6"/>
            <c:invertIfNegative val="0"/>
            <c:bubble3D val="0"/>
            <c:spPr>
              <a:solidFill>
                <a:srgbClr val="C00000"/>
              </a:solidFill>
              <a:ln>
                <a:noFill/>
              </a:ln>
              <a:effectLst/>
            </c:spPr>
          </c:dPt>
          <c:dPt>
            <c:idx val="7"/>
            <c:invertIfNegative val="0"/>
            <c:bubble3D val="0"/>
            <c:spPr>
              <a:solidFill>
                <a:srgbClr val="C00000"/>
              </a:solidFill>
              <a:ln>
                <a:noFill/>
              </a:ln>
              <a:effectLst/>
            </c:spPr>
          </c:dPt>
          <c:dPt>
            <c:idx val="8"/>
            <c:invertIfNegative val="0"/>
            <c:bubble3D val="0"/>
            <c:spPr>
              <a:solidFill>
                <a:srgbClr val="C00000"/>
              </a:solidFill>
              <a:ln>
                <a:noFill/>
              </a:ln>
              <a:effectLst/>
            </c:spPr>
          </c:dPt>
          <c:dPt>
            <c:idx val="9"/>
            <c:invertIfNegative val="0"/>
            <c:bubble3D val="0"/>
            <c:spPr>
              <a:solidFill>
                <a:srgbClr val="C00000"/>
              </a:solidFill>
              <a:ln>
                <a:noFill/>
              </a:ln>
              <a:effectLst/>
            </c:spPr>
          </c:dPt>
          <c:dPt>
            <c:idx val="10"/>
            <c:invertIfNegative val="0"/>
            <c:bubble3D val="0"/>
            <c:spPr>
              <a:solidFill>
                <a:srgbClr val="C00000"/>
              </a:solidFill>
              <a:ln>
                <a:noFill/>
              </a:ln>
              <a:effectLst/>
            </c:spPr>
          </c:dPt>
          <c:dPt>
            <c:idx val="11"/>
            <c:invertIfNegative val="0"/>
            <c:bubble3D val="0"/>
            <c:spPr>
              <a:solidFill>
                <a:srgbClr val="C00000"/>
              </a:solidFill>
              <a:ln>
                <a:noFill/>
              </a:ln>
              <a:effectLst/>
            </c:spPr>
          </c:dPt>
          <c:dPt>
            <c:idx val="12"/>
            <c:invertIfNegative val="0"/>
            <c:bubble3D val="0"/>
            <c:spPr>
              <a:solidFill>
                <a:srgbClr val="C00000"/>
              </a:solidFill>
              <a:ln>
                <a:noFill/>
              </a:ln>
              <a:effectLst/>
            </c:spPr>
          </c:dPt>
          <c:dPt>
            <c:idx val="13"/>
            <c:invertIfNegative val="0"/>
            <c:bubble3D val="0"/>
            <c:spPr>
              <a:solidFill>
                <a:srgbClr val="C00000"/>
              </a:solidFill>
              <a:ln>
                <a:noFill/>
              </a:ln>
              <a:effectLst/>
            </c:spPr>
          </c:dPt>
          <c:dPt>
            <c:idx val="14"/>
            <c:invertIfNegative val="0"/>
            <c:bubble3D val="0"/>
            <c:spPr>
              <a:solidFill>
                <a:srgbClr val="C00000"/>
              </a:solidFill>
              <a:ln>
                <a:noFill/>
              </a:ln>
              <a:effectLst/>
            </c:spPr>
          </c:dPt>
          <c:dPt>
            <c:idx val="15"/>
            <c:invertIfNegative val="0"/>
            <c:bubble3D val="0"/>
            <c:spPr>
              <a:solidFill>
                <a:srgbClr val="FFC000"/>
              </a:solidFill>
              <a:ln>
                <a:noFill/>
              </a:ln>
              <a:effectLst/>
            </c:spPr>
          </c:dPt>
          <c:dPt>
            <c:idx val="16"/>
            <c:invertIfNegative val="0"/>
            <c:bubble3D val="0"/>
            <c:spPr>
              <a:solidFill>
                <a:srgbClr val="FFC000"/>
              </a:solidFill>
              <a:ln>
                <a:noFill/>
              </a:ln>
              <a:effectLst/>
            </c:spPr>
          </c:dPt>
          <c:dPt>
            <c:idx val="17"/>
            <c:invertIfNegative val="0"/>
            <c:bubble3D val="0"/>
            <c:spPr>
              <a:solidFill>
                <a:srgbClr val="FFC000"/>
              </a:solidFill>
              <a:ln>
                <a:noFill/>
              </a:ln>
              <a:effectLst/>
            </c:spPr>
          </c:dPt>
          <c:dPt>
            <c:idx val="18"/>
            <c:invertIfNegative val="0"/>
            <c:bubble3D val="0"/>
            <c:spPr>
              <a:solidFill>
                <a:srgbClr val="FFC000"/>
              </a:solidFill>
              <a:ln>
                <a:noFill/>
              </a:ln>
              <a:effectLst/>
            </c:spPr>
          </c:dPt>
          <c:dPt>
            <c:idx val="19"/>
            <c:invertIfNegative val="0"/>
            <c:bubble3D val="0"/>
            <c:spPr>
              <a:solidFill>
                <a:srgbClr val="FFC000"/>
              </a:solidFill>
              <a:ln>
                <a:noFill/>
              </a:ln>
              <a:effectLst/>
            </c:spPr>
          </c:dPt>
          <c:dPt>
            <c:idx val="20"/>
            <c:invertIfNegative val="0"/>
            <c:bubble3D val="0"/>
            <c:spPr>
              <a:solidFill>
                <a:srgbClr val="FFC000"/>
              </a:solidFill>
              <a:ln>
                <a:noFill/>
              </a:ln>
              <a:effectLst/>
            </c:spPr>
          </c:dPt>
          <c:dPt>
            <c:idx val="21"/>
            <c:invertIfNegative val="0"/>
            <c:bubble3D val="0"/>
            <c:spPr>
              <a:solidFill>
                <a:srgbClr val="FFC000"/>
              </a:solidFill>
              <a:ln>
                <a:noFill/>
              </a:ln>
              <a:effectLst/>
            </c:spPr>
          </c:dPt>
          <c:dPt>
            <c:idx val="22"/>
            <c:invertIfNegative val="0"/>
            <c:bubble3D val="0"/>
            <c:spPr>
              <a:solidFill>
                <a:srgbClr val="FFC000"/>
              </a:solidFill>
              <a:ln>
                <a:noFill/>
              </a:ln>
              <a:effectLst/>
            </c:spPr>
          </c:dPt>
          <c:dPt>
            <c:idx val="23"/>
            <c:invertIfNegative val="0"/>
            <c:bubble3D val="0"/>
            <c:spPr>
              <a:solidFill>
                <a:srgbClr val="FFC000"/>
              </a:solidFill>
              <a:ln>
                <a:noFill/>
              </a:ln>
              <a:effectLst/>
            </c:spPr>
          </c:dPt>
          <c:dPt>
            <c:idx val="24"/>
            <c:invertIfNegative val="0"/>
            <c:bubble3D val="0"/>
            <c:spPr>
              <a:solidFill>
                <a:srgbClr val="FFC000"/>
              </a:solidFill>
              <a:ln>
                <a:noFill/>
              </a:ln>
              <a:effectLst/>
            </c:spPr>
          </c:dPt>
          <c:dPt>
            <c:idx val="25"/>
            <c:invertIfNegative val="0"/>
            <c:bubble3D val="0"/>
            <c:spPr>
              <a:solidFill>
                <a:srgbClr val="FFC000"/>
              </a:solidFill>
              <a:ln>
                <a:noFill/>
              </a:ln>
              <a:effectLst/>
            </c:spPr>
          </c:dPt>
          <c:dPt>
            <c:idx val="26"/>
            <c:invertIfNegative val="0"/>
            <c:bubble3D val="0"/>
            <c:spPr>
              <a:solidFill>
                <a:srgbClr val="FFC000"/>
              </a:solidFill>
              <a:ln>
                <a:noFill/>
              </a:ln>
              <a:effectLst/>
            </c:spPr>
          </c:dPt>
          <c:dPt>
            <c:idx val="27"/>
            <c:invertIfNegative val="0"/>
            <c:bubble3D val="0"/>
            <c:spPr>
              <a:solidFill>
                <a:srgbClr val="9BBB59"/>
              </a:solidFill>
              <a:ln>
                <a:noFill/>
              </a:ln>
              <a:effectLst/>
            </c:spPr>
          </c:dPt>
          <c:dPt>
            <c:idx val="28"/>
            <c:invertIfNegative val="0"/>
            <c:bubble3D val="0"/>
            <c:spPr>
              <a:solidFill>
                <a:srgbClr val="9BBB59"/>
              </a:solidFill>
              <a:ln>
                <a:noFill/>
              </a:ln>
              <a:effectLst/>
            </c:spPr>
          </c:dPt>
          <c:dPt>
            <c:idx val="29"/>
            <c:invertIfNegative val="0"/>
            <c:bubble3D val="0"/>
            <c:spPr>
              <a:solidFill>
                <a:srgbClr val="9BBB59"/>
              </a:solidFill>
              <a:ln>
                <a:noFill/>
              </a:ln>
              <a:effectLst/>
            </c:spPr>
          </c:dPt>
          <c:dPt>
            <c:idx val="30"/>
            <c:invertIfNegative val="0"/>
            <c:bubble3D val="0"/>
            <c:spPr>
              <a:solidFill>
                <a:srgbClr val="9BBB59"/>
              </a:solidFill>
              <a:ln>
                <a:noFill/>
              </a:ln>
              <a:effectLst/>
            </c:spPr>
          </c:dPt>
          <c:dPt>
            <c:idx val="31"/>
            <c:invertIfNegative val="0"/>
            <c:bubble3D val="0"/>
            <c:spPr>
              <a:solidFill>
                <a:srgbClr val="9BBB5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'Gráf.4. Internet'!$J$2:$J$33</c:f>
              <c:strCache>
                <c:ptCount val="32"/>
                <c:pt idx="0">
                  <c:v>32 Guerrero ICI: 0.35</c:v>
                </c:pt>
                <c:pt idx="1">
                  <c:v>31 Oaxaca ICI: 0.48</c:v>
                </c:pt>
                <c:pt idx="2">
                  <c:v>30 Jalisco ICI: 0.48</c:v>
                </c:pt>
                <c:pt idx="3">
                  <c:v>28 México ICI: 0.49</c:v>
                </c:pt>
                <c:pt idx="4">
                  <c:v>28 Michoacán ICI: 0.49</c:v>
                </c:pt>
                <c:pt idx="5">
                  <c:v>27 Baja California Sur ICI: 0.52</c:v>
                </c:pt>
                <c:pt idx="6">
                  <c:v>24 Aguascalientes ICI: 0.53</c:v>
                </c:pt>
                <c:pt idx="7">
                  <c:v>24 Sonora ICI: 0.53</c:v>
                </c:pt>
                <c:pt idx="8">
                  <c:v>24 Veracruz ICI: 0.53</c:v>
                </c:pt>
                <c:pt idx="9">
                  <c:v>23 Colima ICI: 0.54</c:v>
                </c:pt>
                <c:pt idx="10">
                  <c:v>20 Chihuahua ICI: 0.57</c:v>
                </c:pt>
                <c:pt idx="11">
                  <c:v>20 Nuevo León ICI: 0.57</c:v>
                </c:pt>
                <c:pt idx="12">
                  <c:v>20 Zacatecas ICI: 0.57</c:v>
                </c:pt>
                <c:pt idx="13">
                  <c:v>19 Yucatán ICI: 0.58</c:v>
                </c:pt>
                <c:pt idx="14">
                  <c:v>18 Sinaloa ICI: 0.59</c:v>
                </c:pt>
                <c:pt idx="15">
                  <c:v>17 Guanajuato ICI: 0.61</c:v>
                </c:pt>
                <c:pt idx="16">
                  <c:v>16 Puebla ICI: 0.65</c:v>
                </c:pt>
                <c:pt idx="17">
                  <c:v>15 Durango ICI: 0.67</c:v>
                </c:pt>
                <c:pt idx="18">
                  <c:v>13 Querétaro ICI: 0.68</c:v>
                </c:pt>
                <c:pt idx="19">
                  <c:v>13 Tlaxcala ICI: 0.68</c:v>
                </c:pt>
                <c:pt idx="20">
                  <c:v>12 Chiapas ICI: 0.69</c:v>
                </c:pt>
                <c:pt idx="21">
                  <c:v>11 Tabasco ICI: 0.71</c:v>
                </c:pt>
                <c:pt idx="22">
                  <c:v>9 San Luis Potosí ICI: 0.72</c:v>
                </c:pt>
                <c:pt idx="23">
                  <c:v>9 Coahuila  ICI: 0.72</c:v>
                </c:pt>
                <c:pt idx="24">
                  <c:v>7 Quintana Roo ICI: 0.73</c:v>
                </c:pt>
                <c:pt idx="25">
                  <c:v>7 Baja California   ICI: 0.73</c:v>
                </c:pt>
                <c:pt idx="26">
                  <c:v>6 Tamaulipas ICI: 0.76</c:v>
                </c:pt>
                <c:pt idx="27">
                  <c:v>5 Ciudad de México ICI: 0.80</c:v>
                </c:pt>
                <c:pt idx="28">
                  <c:v>3 Hidalgo ICI: 0.81</c:v>
                </c:pt>
                <c:pt idx="29">
                  <c:v>3 Campeche ICI: 0.81</c:v>
                </c:pt>
                <c:pt idx="30">
                  <c:v>2 Nayarit ICI: 0.84</c:v>
                </c:pt>
                <c:pt idx="31">
                  <c:v>1 Morelos ICI: 0.87</c:v>
                </c:pt>
              </c:strCache>
            </c:strRef>
          </c:cat>
          <c:val>
            <c:numRef>
              <c:f>'Gráf.4. Internet'!$K$2:$K$33</c:f>
              <c:numCache>
                <c:formatCode>0%</c:formatCode>
                <c:ptCount val="32"/>
                <c:pt idx="0">
                  <c:v>0.3</c:v>
                </c:pt>
                <c:pt idx="1">
                  <c:v>0.3</c:v>
                </c:pt>
                <c:pt idx="2">
                  <c:v>0.46</c:v>
                </c:pt>
                <c:pt idx="3">
                  <c:v>0.37</c:v>
                </c:pt>
                <c:pt idx="4">
                  <c:v>0.38</c:v>
                </c:pt>
                <c:pt idx="5">
                  <c:v>0.52</c:v>
                </c:pt>
                <c:pt idx="6">
                  <c:v>0.38</c:v>
                </c:pt>
                <c:pt idx="7">
                  <c:v>0.53</c:v>
                </c:pt>
                <c:pt idx="8">
                  <c:v>0.32</c:v>
                </c:pt>
                <c:pt idx="9">
                  <c:v>0.49</c:v>
                </c:pt>
                <c:pt idx="10">
                  <c:v>0.5</c:v>
                </c:pt>
                <c:pt idx="11">
                  <c:v>0.55000000000000004</c:v>
                </c:pt>
                <c:pt idx="12">
                  <c:v>0.44</c:v>
                </c:pt>
                <c:pt idx="13">
                  <c:v>0.36</c:v>
                </c:pt>
                <c:pt idx="14">
                  <c:v>0.49</c:v>
                </c:pt>
                <c:pt idx="15">
                  <c:v>0.36</c:v>
                </c:pt>
                <c:pt idx="16">
                  <c:v>0.34</c:v>
                </c:pt>
                <c:pt idx="17">
                  <c:v>0.39</c:v>
                </c:pt>
                <c:pt idx="18">
                  <c:v>0.4</c:v>
                </c:pt>
                <c:pt idx="19">
                  <c:v>0.28000000000000003</c:v>
                </c:pt>
                <c:pt idx="20">
                  <c:v>0.23</c:v>
                </c:pt>
                <c:pt idx="21">
                  <c:v>0.41</c:v>
                </c:pt>
                <c:pt idx="22">
                  <c:v>0.35</c:v>
                </c:pt>
                <c:pt idx="23">
                  <c:v>0.42</c:v>
                </c:pt>
                <c:pt idx="24">
                  <c:v>0.49</c:v>
                </c:pt>
                <c:pt idx="25">
                  <c:v>0.53</c:v>
                </c:pt>
                <c:pt idx="26">
                  <c:v>0.43</c:v>
                </c:pt>
                <c:pt idx="27">
                  <c:v>0.54</c:v>
                </c:pt>
                <c:pt idx="28">
                  <c:v>0.41</c:v>
                </c:pt>
                <c:pt idx="29">
                  <c:v>0.37</c:v>
                </c:pt>
                <c:pt idx="30">
                  <c:v>0.44</c:v>
                </c:pt>
                <c:pt idx="31">
                  <c:v>0.46</c:v>
                </c:pt>
              </c:numCache>
            </c:numRef>
          </c:val>
        </c:ser>
        <c:dLbls>
          <c:showLegendKey val="0"/>
          <c:showVal val="0"/>
          <c:showCatName val="0"/>
          <c:showSerName val="0"/>
          <c:showPercent val="0"/>
          <c:showBubbleSize val="0"/>
        </c:dLbls>
        <c:gapWidth val="182"/>
        <c:axId val="249719088"/>
        <c:axId val="249719648"/>
      </c:barChart>
      <c:catAx>
        <c:axId val="249719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19648"/>
        <c:crosses val="autoZero"/>
        <c:auto val="1"/>
        <c:lblAlgn val="ctr"/>
        <c:lblOffset val="100"/>
        <c:noMultiLvlLbl val="0"/>
      </c:catAx>
      <c:valAx>
        <c:axId val="249719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1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dPt>
          <c:dPt>
            <c:idx val="1"/>
            <c:invertIfNegative val="0"/>
            <c:bubble3D val="0"/>
            <c:spPr>
              <a:solidFill>
                <a:srgbClr val="C00000"/>
              </a:solidFill>
              <a:ln>
                <a:noFill/>
              </a:ln>
              <a:effectLst/>
            </c:spPr>
          </c:dPt>
          <c:dPt>
            <c:idx val="2"/>
            <c:invertIfNegative val="0"/>
            <c:bubble3D val="0"/>
            <c:spPr>
              <a:solidFill>
                <a:srgbClr val="C00000"/>
              </a:solidFill>
              <a:ln>
                <a:noFill/>
              </a:ln>
              <a:effectLst/>
            </c:spPr>
          </c:dPt>
          <c:dPt>
            <c:idx val="3"/>
            <c:invertIfNegative val="0"/>
            <c:bubble3D val="0"/>
            <c:spPr>
              <a:solidFill>
                <a:srgbClr val="C00000"/>
              </a:solidFill>
              <a:ln>
                <a:noFill/>
              </a:ln>
              <a:effectLst/>
            </c:spPr>
          </c:dPt>
          <c:dPt>
            <c:idx val="4"/>
            <c:invertIfNegative val="0"/>
            <c:bubble3D val="0"/>
            <c:spPr>
              <a:solidFill>
                <a:srgbClr val="C00000"/>
              </a:solidFill>
              <a:ln>
                <a:noFill/>
              </a:ln>
              <a:effectLst/>
            </c:spPr>
          </c:dPt>
          <c:dPt>
            <c:idx val="5"/>
            <c:invertIfNegative val="0"/>
            <c:bubble3D val="0"/>
            <c:spPr>
              <a:solidFill>
                <a:srgbClr val="C00000"/>
              </a:solidFill>
              <a:ln>
                <a:noFill/>
              </a:ln>
              <a:effectLst/>
            </c:spPr>
          </c:dPt>
          <c:dPt>
            <c:idx val="6"/>
            <c:invertIfNegative val="0"/>
            <c:bubble3D val="0"/>
            <c:spPr>
              <a:solidFill>
                <a:srgbClr val="C00000"/>
              </a:solidFill>
              <a:ln>
                <a:noFill/>
              </a:ln>
              <a:effectLst/>
            </c:spPr>
          </c:dPt>
          <c:dPt>
            <c:idx val="7"/>
            <c:invertIfNegative val="0"/>
            <c:bubble3D val="0"/>
            <c:spPr>
              <a:solidFill>
                <a:srgbClr val="C00000"/>
              </a:solidFill>
              <a:ln>
                <a:noFill/>
              </a:ln>
              <a:effectLst/>
            </c:spPr>
          </c:dPt>
          <c:dPt>
            <c:idx val="8"/>
            <c:invertIfNegative val="0"/>
            <c:bubble3D val="0"/>
            <c:spPr>
              <a:solidFill>
                <a:srgbClr val="C00000"/>
              </a:solidFill>
              <a:ln>
                <a:noFill/>
              </a:ln>
              <a:effectLst/>
            </c:spPr>
          </c:dPt>
          <c:dPt>
            <c:idx val="9"/>
            <c:invertIfNegative val="0"/>
            <c:bubble3D val="0"/>
            <c:spPr>
              <a:solidFill>
                <a:srgbClr val="C00000"/>
              </a:solidFill>
              <a:ln>
                <a:noFill/>
              </a:ln>
              <a:effectLst/>
            </c:spPr>
          </c:dPt>
          <c:dPt>
            <c:idx val="10"/>
            <c:invertIfNegative val="0"/>
            <c:bubble3D val="0"/>
            <c:spPr>
              <a:solidFill>
                <a:srgbClr val="C00000"/>
              </a:solidFill>
              <a:ln>
                <a:noFill/>
              </a:ln>
              <a:effectLst/>
            </c:spPr>
          </c:dPt>
          <c:dPt>
            <c:idx val="11"/>
            <c:invertIfNegative val="0"/>
            <c:bubble3D val="0"/>
            <c:spPr>
              <a:solidFill>
                <a:srgbClr val="C00000"/>
              </a:solidFill>
              <a:ln>
                <a:noFill/>
              </a:ln>
              <a:effectLst/>
            </c:spPr>
          </c:dPt>
          <c:dPt>
            <c:idx val="12"/>
            <c:invertIfNegative val="0"/>
            <c:bubble3D val="0"/>
            <c:spPr>
              <a:solidFill>
                <a:srgbClr val="C00000"/>
              </a:solidFill>
              <a:ln>
                <a:noFill/>
              </a:ln>
              <a:effectLst/>
            </c:spPr>
          </c:dPt>
          <c:dPt>
            <c:idx val="13"/>
            <c:invertIfNegative val="0"/>
            <c:bubble3D val="0"/>
            <c:spPr>
              <a:solidFill>
                <a:srgbClr val="C00000"/>
              </a:solidFill>
              <a:ln>
                <a:noFill/>
              </a:ln>
              <a:effectLst/>
            </c:spPr>
          </c:dPt>
          <c:dPt>
            <c:idx val="14"/>
            <c:invertIfNegative val="0"/>
            <c:bubble3D val="0"/>
            <c:spPr>
              <a:solidFill>
                <a:srgbClr val="C00000"/>
              </a:solidFill>
              <a:ln>
                <a:noFill/>
              </a:ln>
              <a:effectLst/>
            </c:spPr>
          </c:dPt>
          <c:dPt>
            <c:idx val="15"/>
            <c:invertIfNegative val="0"/>
            <c:bubble3D val="0"/>
            <c:spPr>
              <a:solidFill>
                <a:srgbClr val="FFC000"/>
              </a:solidFill>
              <a:ln>
                <a:noFill/>
              </a:ln>
              <a:effectLst/>
            </c:spPr>
          </c:dPt>
          <c:dPt>
            <c:idx val="16"/>
            <c:invertIfNegative val="0"/>
            <c:bubble3D val="0"/>
            <c:spPr>
              <a:solidFill>
                <a:srgbClr val="FFC000"/>
              </a:solidFill>
              <a:ln>
                <a:noFill/>
              </a:ln>
              <a:effectLst/>
            </c:spPr>
          </c:dPt>
          <c:dPt>
            <c:idx val="17"/>
            <c:invertIfNegative val="0"/>
            <c:bubble3D val="0"/>
            <c:spPr>
              <a:solidFill>
                <a:srgbClr val="FFC000"/>
              </a:solidFill>
              <a:ln>
                <a:noFill/>
              </a:ln>
              <a:effectLst/>
            </c:spPr>
          </c:dPt>
          <c:dPt>
            <c:idx val="18"/>
            <c:invertIfNegative val="0"/>
            <c:bubble3D val="0"/>
            <c:spPr>
              <a:solidFill>
                <a:srgbClr val="FFC000"/>
              </a:solidFill>
              <a:ln>
                <a:noFill/>
              </a:ln>
              <a:effectLst/>
            </c:spPr>
          </c:dPt>
          <c:dPt>
            <c:idx val="19"/>
            <c:invertIfNegative val="0"/>
            <c:bubble3D val="0"/>
            <c:spPr>
              <a:solidFill>
                <a:srgbClr val="FFC000"/>
              </a:solidFill>
              <a:ln>
                <a:noFill/>
              </a:ln>
              <a:effectLst/>
            </c:spPr>
          </c:dPt>
          <c:dPt>
            <c:idx val="20"/>
            <c:invertIfNegative val="0"/>
            <c:bubble3D val="0"/>
            <c:spPr>
              <a:solidFill>
                <a:srgbClr val="FFC000"/>
              </a:solidFill>
              <a:ln>
                <a:noFill/>
              </a:ln>
              <a:effectLst/>
            </c:spPr>
          </c:dPt>
          <c:dPt>
            <c:idx val="21"/>
            <c:invertIfNegative val="0"/>
            <c:bubble3D val="0"/>
            <c:spPr>
              <a:solidFill>
                <a:srgbClr val="FFC000"/>
              </a:solidFill>
              <a:ln>
                <a:noFill/>
              </a:ln>
              <a:effectLst/>
            </c:spPr>
          </c:dPt>
          <c:dPt>
            <c:idx val="22"/>
            <c:invertIfNegative val="0"/>
            <c:bubble3D val="0"/>
            <c:spPr>
              <a:solidFill>
                <a:srgbClr val="FFC000"/>
              </a:solidFill>
              <a:ln>
                <a:noFill/>
              </a:ln>
              <a:effectLst/>
            </c:spPr>
          </c:dPt>
          <c:dPt>
            <c:idx val="23"/>
            <c:invertIfNegative val="0"/>
            <c:bubble3D val="0"/>
            <c:spPr>
              <a:solidFill>
                <a:srgbClr val="FFC000"/>
              </a:solidFill>
              <a:ln>
                <a:noFill/>
              </a:ln>
              <a:effectLst/>
            </c:spPr>
          </c:dPt>
          <c:dPt>
            <c:idx val="24"/>
            <c:invertIfNegative val="0"/>
            <c:bubble3D val="0"/>
            <c:spPr>
              <a:solidFill>
                <a:srgbClr val="FFC000"/>
              </a:solidFill>
              <a:ln>
                <a:noFill/>
              </a:ln>
              <a:effectLst/>
            </c:spPr>
          </c:dPt>
          <c:dPt>
            <c:idx val="25"/>
            <c:invertIfNegative val="0"/>
            <c:bubble3D val="0"/>
            <c:spPr>
              <a:solidFill>
                <a:srgbClr val="FFC000"/>
              </a:solidFill>
              <a:ln>
                <a:noFill/>
              </a:ln>
              <a:effectLst/>
            </c:spPr>
          </c:dPt>
          <c:dPt>
            <c:idx val="26"/>
            <c:invertIfNegative val="0"/>
            <c:bubble3D val="0"/>
            <c:spPr>
              <a:solidFill>
                <a:srgbClr val="FFC000"/>
              </a:solidFill>
              <a:ln>
                <a:noFill/>
              </a:ln>
              <a:effectLst/>
            </c:spPr>
          </c:dPt>
          <c:dPt>
            <c:idx val="27"/>
            <c:invertIfNegative val="0"/>
            <c:bubble3D val="0"/>
            <c:spPr>
              <a:solidFill>
                <a:srgbClr val="9BBB59"/>
              </a:solidFill>
              <a:ln>
                <a:noFill/>
              </a:ln>
              <a:effectLst/>
            </c:spPr>
          </c:dPt>
          <c:dPt>
            <c:idx val="28"/>
            <c:invertIfNegative val="0"/>
            <c:bubble3D val="0"/>
            <c:spPr>
              <a:solidFill>
                <a:srgbClr val="9BBB59"/>
              </a:solidFill>
              <a:ln>
                <a:noFill/>
              </a:ln>
              <a:effectLst/>
            </c:spPr>
          </c:dPt>
          <c:dPt>
            <c:idx val="29"/>
            <c:invertIfNegative val="0"/>
            <c:bubble3D val="0"/>
            <c:spPr>
              <a:solidFill>
                <a:srgbClr val="9BBB59"/>
              </a:solidFill>
              <a:ln>
                <a:noFill/>
              </a:ln>
              <a:effectLst/>
            </c:spPr>
          </c:dPt>
          <c:dPt>
            <c:idx val="30"/>
            <c:invertIfNegative val="0"/>
            <c:bubble3D val="0"/>
            <c:spPr>
              <a:solidFill>
                <a:srgbClr val="9BBB59"/>
              </a:solidFill>
              <a:ln>
                <a:noFill/>
              </a:ln>
              <a:effectLst/>
            </c:spPr>
          </c:dPt>
          <c:dPt>
            <c:idx val="31"/>
            <c:invertIfNegative val="0"/>
            <c:bubble3D val="0"/>
            <c:spPr>
              <a:solidFill>
                <a:srgbClr val="9BBB5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5Lentitud'!$N$2:$N$33</c:f>
              <c:strCache>
                <c:ptCount val="32"/>
                <c:pt idx="0">
                  <c:v>32 Guerrero ICI: 0.35</c:v>
                </c:pt>
                <c:pt idx="1">
                  <c:v>31 Oaxaca ICI: 0.48</c:v>
                </c:pt>
                <c:pt idx="2">
                  <c:v>30 Jalisco ICI: 0.48</c:v>
                </c:pt>
                <c:pt idx="3">
                  <c:v>28 México ICI: 0.49</c:v>
                </c:pt>
                <c:pt idx="4">
                  <c:v>28 Michoacán ICI: 0.49</c:v>
                </c:pt>
                <c:pt idx="5">
                  <c:v>27 Baja California Sur ICI: 0.52</c:v>
                </c:pt>
                <c:pt idx="6">
                  <c:v>24 Aguascalientes ICI: 0.53</c:v>
                </c:pt>
                <c:pt idx="7">
                  <c:v>24 Sonora ICI: 0.53</c:v>
                </c:pt>
                <c:pt idx="8">
                  <c:v>24 Veracruz ICI: 0.53</c:v>
                </c:pt>
                <c:pt idx="9">
                  <c:v>23 Colima ICI: 0.54</c:v>
                </c:pt>
                <c:pt idx="10">
                  <c:v>20 Chihuahua ICI: 0.57</c:v>
                </c:pt>
                <c:pt idx="11">
                  <c:v>20 Nuevo León ICI: 0.57</c:v>
                </c:pt>
                <c:pt idx="12">
                  <c:v>20 Zacatecas ICI: 0.57</c:v>
                </c:pt>
                <c:pt idx="13">
                  <c:v>19 Yucatán ICI: 0.58</c:v>
                </c:pt>
                <c:pt idx="14">
                  <c:v>18 Sinaloa ICI: 0.59</c:v>
                </c:pt>
                <c:pt idx="15">
                  <c:v>17 Guanajuato ICI: 0.61</c:v>
                </c:pt>
                <c:pt idx="16">
                  <c:v>16 Puebla ICI: 0.65</c:v>
                </c:pt>
                <c:pt idx="17">
                  <c:v>15 Durango ICI: 0.67</c:v>
                </c:pt>
                <c:pt idx="18">
                  <c:v>13 Querétaro ICI: 0.68</c:v>
                </c:pt>
                <c:pt idx="19">
                  <c:v>13 Tlaxcala ICI: 0.68</c:v>
                </c:pt>
                <c:pt idx="20">
                  <c:v>12 Chiapas ICI: 0.69</c:v>
                </c:pt>
                <c:pt idx="21">
                  <c:v>11 Tabasco ICI: 0.71</c:v>
                </c:pt>
                <c:pt idx="22">
                  <c:v>9 San Luis Potosí ICI: 0.72</c:v>
                </c:pt>
                <c:pt idx="23">
                  <c:v>9 Coahuila  ICI: 0.72</c:v>
                </c:pt>
                <c:pt idx="24">
                  <c:v>7 Quintana Roo ICI: 0.73</c:v>
                </c:pt>
                <c:pt idx="25">
                  <c:v>7 Baja California   ICI: 0.73</c:v>
                </c:pt>
                <c:pt idx="26">
                  <c:v>6 Tamaulipas ICI: 0.76</c:v>
                </c:pt>
                <c:pt idx="27">
                  <c:v>5 Ciudad de México ICI: 0.80</c:v>
                </c:pt>
                <c:pt idx="28">
                  <c:v>3 Hidalgo ICI: 0.81</c:v>
                </c:pt>
                <c:pt idx="29">
                  <c:v>3 Campeche ICI: 0.81</c:v>
                </c:pt>
                <c:pt idx="30">
                  <c:v>2 Nayarit ICI: 0.84</c:v>
                </c:pt>
                <c:pt idx="31">
                  <c:v>1 Morelos ICI: 0.87</c:v>
                </c:pt>
              </c:strCache>
            </c:strRef>
          </c:cat>
          <c:val>
            <c:numRef>
              <c:f>'Graf. 5Lentitud'!$O$2:$O$33</c:f>
              <c:numCache>
                <c:formatCode>0%</c:formatCode>
                <c:ptCount val="32"/>
                <c:pt idx="0">
                  <c:v>0.14401140684410646</c:v>
                </c:pt>
                <c:pt idx="1">
                  <c:v>7.6073619631901845E-2</c:v>
                </c:pt>
                <c:pt idx="2">
                  <c:v>0.18471720818291215</c:v>
                </c:pt>
                <c:pt idx="3">
                  <c:v>8.8200238379022647E-2</c:v>
                </c:pt>
                <c:pt idx="4">
                  <c:v>0.1098062243100411</c:v>
                </c:pt>
                <c:pt idx="5">
                  <c:v>5.6971514242878558E-2</c:v>
                </c:pt>
                <c:pt idx="6">
                  <c:v>8.9811685176243355E-2</c:v>
                </c:pt>
                <c:pt idx="7">
                  <c:v>0.20392156862745098</c:v>
                </c:pt>
                <c:pt idx="8">
                  <c:v>0.14979386165826844</c:v>
                </c:pt>
                <c:pt idx="9">
                  <c:v>7.7981651376146793E-2</c:v>
                </c:pt>
                <c:pt idx="10">
                  <c:v>0.12343699903815325</c:v>
                </c:pt>
                <c:pt idx="11">
                  <c:v>0.11090011393847322</c:v>
                </c:pt>
                <c:pt idx="12">
                  <c:v>0.14617737003058104</c:v>
                </c:pt>
                <c:pt idx="13">
                  <c:v>0.14850976361767729</c:v>
                </c:pt>
                <c:pt idx="14">
                  <c:v>8.1467889908256874E-2</c:v>
                </c:pt>
                <c:pt idx="15">
                  <c:v>0.16159496327387199</c:v>
                </c:pt>
                <c:pt idx="16">
                  <c:v>0.17637178051511759</c:v>
                </c:pt>
                <c:pt idx="17">
                  <c:v>0.166015625</c:v>
                </c:pt>
                <c:pt idx="18">
                  <c:v>0.10920198549064529</c:v>
                </c:pt>
                <c:pt idx="19">
                  <c:v>0.14728682170542637</c:v>
                </c:pt>
                <c:pt idx="20">
                  <c:v>0.20730671197960918</c:v>
                </c:pt>
                <c:pt idx="21">
                  <c:v>7.6749435665914217E-2</c:v>
                </c:pt>
                <c:pt idx="22">
                  <c:v>0.16893424036281179</c:v>
                </c:pt>
                <c:pt idx="23">
                  <c:v>9.6491228070175433E-2</c:v>
                </c:pt>
                <c:pt idx="24">
                  <c:v>9.2788240698208541E-2</c:v>
                </c:pt>
                <c:pt idx="25">
                  <c:v>0.11741249446167479</c:v>
                </c:pt>
                <c:pt idx="26">
                  <c:v>0.11651469098277609</c:v>
                </c:pt>
                <c:pt idx="27">
                  <c:v>9.7510373443983403E-2</c:v>
                </c:pt>
                <c:pt idx="28">
                  <c:v>0.14591194968553459</c:v>
                </c:pt>
                <c:pt idx="29">
                  <c:v>7.9955580233203774E-2</c:v>
                </c:pt>
                <c:pt idx="30">
                  <c:v>0.11117861482381532</c:v>
                </c:pt>
                <c:pt idx="31">
                  <c:v>0.16013384321223709</c:v>
                </c:pt>
              </c:numCache>
            </c:numRef>
          </c:val>
        </c:ser>
        <c:dLbls>
          <c:showLegendKey val="0"/>
          <c:showVal val="0"/>
          <c:showCatName val="0"/>
          <c:showSerName val="0"/>
          <c:showPercent val="0"/>
          <c:showBubbleSize val="0"/>
        </c:dLbls>
        <c:gapWidth val="182"/>
        <c:axId val="249721888"/>
        <c:axId val="249722448"/>
      </c:barChart>
      <c:catAx>
        <c:axId val="24972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22448"/>
        <c:crosses val="autoZero"/>
        <c:auto val="1"/>
        <c:lblAlgn val="ctr"/>
        <c:lblOffset val="100"/>
        <c:noMultiLvlLbl val="0"/>
      </c:catAx>
      <c:valAx>
        <c:axId val="249722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2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'EDOS cambios mun 2015'!$B$2</c:f>
              <c:strCache>
                <c:ptCount val="1"/>
                <c:pt idx="0">
                  <c:v>Total de municipios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2015'!$A$3:$A$7</c:f>
              <c:strCache>
                <c:ptCount val="5"/>
                <c:pt idx="0">
                  <c:v>Baja California Sur</c:v>
                </c:pt>
                <c:pt idx="1">
                  <c:v>Guerrero</c:v>
                </c:pt>
                <c:pt idx="2">
                  <c:v>Michoacán</c:v>
                </c:pt>
                <c:pt idx="3">
                  <c:v>Sonora</c:v>
                </c:pt>
                <c:pt idx="4">
                  <c:v>Yucatán</c:v>
                </c:pt>
              </c:strCache>
            </c:strRef>
          </c:cat>
          <c:val>
            <c:numRef>
              <c:f>'EDOS cambios mun 2015'!$B$3:$B$7</c:f>
              <c:numCache>
                <c:formatCode>#,##0</c:formatCode>
                <c:ptCount val="5"/>
                <c:pt idx="0">
                  <c:v>5</c:v>
                </c:pt>
                <c:pt idx="1">
                  <c:v>81</c:v>
                </c:pt>
                <c:pt idx="2">
                  <c:v>113</c:v>
                </c:pt>
                <c:pt idx="3">
                  <c:v>72</c:v>
                </c:pt>
                <c:pt idx="4">
                  <c:v>106</c:v>
                </c:pt>
              </c:numCache>
            </c:numRef>
          </c:val>
        </c:ser>
        <c:ser>
          <c:idx val="1"/>
          <c:order val="1"/>
          <c:tx>
            <c:strRef>
              <c:f>'EDOS cambios mun 2015'!$E$2</c:f>
              <c:strCache>
                <c:ptCount val="1"/>
                <c:pt idx="0">
                  <c:v>Municipios que reportaron en el 2do trimestre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2015'!$A$3:$A$7</c:f>
              <c:strCache>
                <c:ptCount val="5"/>
                <c:pt idx="0">
                  <c:v>Baja California Sur</c:v>
                </c:pt>
                <c:pt idx="1">
                  <c:v>Guerrero</c:v>
                </c:pt>
                <c:pt idx="2">
                  <c:v>Michoacán</c:v>
                </c:pt>
                <c:pt idx="3">
                  <c:v>Sonora</c:v>
                </c:pt>
                <c:pt idx="4">
                  <c:v>Yucatán</c:v>
                </c:pt>
              </c:strCache>
            </c:strRef>
          </c:cat>
          <c:val>
            <c:numRef>
              <c:f>'EDOS cambios mun 2015'!$E$3:$E$7</c:f>
              <c:numCache>
                <c:formatCode>#,##0</c:formatCode>
                <c:ptCount val="5"/>
                <c:pt idx="0">
                  <c:v>5</c:v>
                </c:pt>
                <c:pt idx="1">
                  <c:v>42</c:v>
                </c:pt>
                <c:pt idx="2">
                  <c:v>80</c:v>
                </c:pt>
                <c:pt idx="3">
                  <c:v>61</c:v>
                </c:pt>
                <c:pt idx="4">
                  <c:v>69</c:v>
                </c:pt>
              </c:numCache>
            </c:numRef>
          </c:val>
        </c:ser>
        <c:ser>
          <c:idx val="2"/>
          <c:order val="2"/>
          <c:tx>
            <c:strRef>
              <c:f>'EDOS cambios mun 2015'!$F$2</c:f>
              <c:strCache>
                <c:ptCount val="1"/>
                <c:pt idx="0">
                  <c:v>Municipios que reportaron en el 3er trimestre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2015'!$A$3:$A$7</c:f>
              <c:strCache>
                <c:ptCount val="5"/>
                <c:pt idx="0">
                  <c:v>Baja California Sur</c:v>
                </c:pt>
                <c:pt idx="1">
                  <c:v>Guerrero</c:v>
                </c:pt>
                <c:pt idx="2">
                  <c:v>Michoacán</c:v>
                </c:pt>
                <c:pt idx="3">
                  <c:v>Sonora</c:v>
                </c:pt>
                <c:pt idx="4">
                  <c:v>Yucatán</c:v>
                </c:pt>
              </c:strCache>
            </c:strRef>
          </c:cat>
          <c:val>
            <c:numRef>
              <c:f>'EDOS cambios mun 2015'!$F$3:$F$7</c:f>
              <c:numCache>
                <c:formatCode>#,##0</c:formatCode>
                <c:ptCount val="5"/>
                <c:pt idx="0">
                  <c:v>5</c:v>
                </c:pt>
                <c:pt idx="1">
                  <c:v>30</c:v>
                </c:pt>
                <c:pt idx="2">
                  <c:v>78</c:v>
                </c:pt>
                <c:pt idx="3">
                  <c:v>39</c:v>
                </c:pt>
                <c:pt idx="4">
                  <c:v>44</c:v>
                </c:pt>
              </c:numCache>
            </c:numRef>
          </c:val>
        </c:ser>
        <c:ser>
          <c:idx val="3"/>
          <c:order val="3"/>
          <c:tx>
            <c:strRef>
              <c:f>'EDOS cambios mun 2015'!$G$2</c:f>
              <c:strCache>
                <c:ptCount val="1"/>
                <c:pt idx="0">
                  <c:v>Municipios que reportaron en el 4to trimestre</c:v>
                </c:pt>
              </c:strCache>
            </c:strRef>
          </c:tx>
          <c:spPr>
            <a:solidFill>
              <a:srgbClr val="00878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'EDOS cambios mun 2015'!$G$3:$G$7</c:f>
              <c:numCache>
                <c:formatCode>#,##0</c:formatCode>
                <c:ptCount val="5"/>
                <c:pt idx="0">
                  <c:v>5</c:v>
                </c:pt>
                <c:pt idx="1">
                  <c:v>53</c:v>
                </c:pt>
                <c:pt idx="2">
                  <c:v>68</c:v>
                </c:pt>
                <c:pt idx="3">
                  <c:v>40</c:v>
                </c:pt>
                <c:pt idx="4">
                  <c:v>71</c:v>
                </c:pt>
              </c:numCache>
            </c:numRef>
          </c:val>
        </c:ser>
        <c:dLbls>
          <c:showLegendKey val="0"/>
          <c:showVal val="0"/>
          <c:showCatName val="0"/>
          <c:showSerName val="0"/>
          <c:showPercent val="0"/>
          <c:showBubbleSize val="0"/>
        </c:dLbls>
        <c:gapWidth val="219"/>
        <c:overlap val="-27"/>
        <c:axId val="249726368"/>
        <c:axId val="249726928"/>
      </c:barChart>
      <c:catAx>
        <c:axId val="2497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26928"/>
        <c:crosses val="autoZero"/>
        <c:auto val="1"/>
        <c:lblAlgn val="ctr"/>
        <c:lblOffset val="100"/>
        <c:noMultiLvlLbl val="0"/>
      </c:catAx>
      <c:valAx>
        <c:axId val="249726928"/>
        <c:scaling>
          <c:orientation val="minMax"/>
          <c:max val="115"/>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2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'EDOS cambios mun 2015'!$B$11</c:f>
              <c:strCache>
                <c:ptCount val="1"/>
                <c:pt idx="0">
                  <c:v>Total de municipios</c:v>
                </c:pt>
              </c:strCache>
            </c:strRef>
          </c:tx>
          <c:spPr>
            <a:solidFill>
              <a:srgbClr val="1C905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2015'!$A$12:$A$20</c:f>
              <c:strCache>
                <c:ptCount val="9"/>
                <c:pt idx="0">
                  <c:v>Campeche</c:v>
                </c:pt>
                <c:pt idx="1">
                  <c:v>Chiapas</c:v>
                </c:pt>
                <c:pt idx="2">
                  <c:v>Colima</c:v>
                </c:pt>
                <c:pt idx="3">
                  <c:v>Ciudad de México</c:v>
                </c:pt>
                <c:pt idx="4">
                  <c:v>Guanajuato</c:v>
                </c:pt>
                <c:pt idx="5">
                  <c:v>Jalisco</c:v>
                </c:pt>
                <c:pt idx="6">
                  <c:v>Nuevo León</c:v>
                </c:pt>
                <c:pt idx="7">
                  <c:v>Querétaro</c:v>
                </c:pt>
                <c:pt idx="8">
                  <c:v>San Luis Potosí</c:v>
                </c:pt>
              </c:strCache>
            </c:strRef>
          </c:cat>
          <c:val>
            <c:numRef>
              <c:f>'EDOS cambios mun 2015'!$B$12:$B$20</c:f>
              <c:numCache>
                <c:formatCode>#,##0</c:formatCode>
                <c:ptCount val="9"/>
                <c:pt idx="0">
                  <c:v>11</c:v>
                </c:pt>
                <c:pt idx="1">
                  <c:v>118</c:v>
                </c:pt>
                <c:pt idx="2">
                  <c:v>10</c:v>
                </c:pt>
                <c:pt idx="3">
                  <c:v>16</c:v>
                </c:pt>
                <c:pt idx="4">
                  <c:v>46</c:v>
                </c:pt>
                <c:pt idx="5">
                  <c:v>125</c:v>
                </c:pt>
                <c:pt idx="6">
                  <c:v>51</c:v>
                </c:pt>
                <c:pt idx="7">
                  <c:v>18</c:v>
                </c:pt>
                <c:pt idx="8">
                  <c:v>58</c:v>
                </c:pt>
              </c:numCache>
            </c:numRef>
          </c:val>
        </c:ser>
        <c:ser>
          <c:idx val="1"/>
          <c:order val="1"/>
          <c:tx>
            <c:strRef>
              <c:f>'EDOS cambios mun 2015'!$F$11</c:f>
              <c:strCache>
                <c:ptCount val="1"/>
                <c:pt idx="0">
                  <c:v>Municipios que reportaron en el 3er trimestre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2015'!$A$12:$A$20</c:f>
              <c:strCache>
                <c:ptCount val="9"/>
                <c:pt idx="0">
                  <c:v>Campeche</c:v>
                </c:pt>
                <c:pt idx="1">
                  <c:v>Chiapas</c:v>
                </c:pt>
                <c:pt idx="2">
                  <c:v>Colima</c:v>
                </c:pt>
                <c:pt idx="3">
                  <c:v>Ciudad de México</c:v>
                </c:pt>
                <c:pt idx="4">
                  <c:v>Guanajuato</c:v>
                </c:pt>
                <c:pt idx="5">
                  <c:v>Jalisco</c:v>
                </c:pt>
                <c:pt idx="6">
                  <c:v>Nuevo León</c:v>
                </c:pt>
                <c:pt idx="7">
                  <c:v>Querétaro</c:v>
                </c:pt>
                <c:pt idx="8">
                  <c:v>San Luis Potosí</c:v>
                </c:pt>
              </c:strCache>
            </c:strRef>
          </c:cat>
          <c:val>
            <c:numRef>
              <c:f>'EDOS cambios mun 2015'!$F$12:$F$20</c:f>
              <c:numCache>
                <c:formatCode>#,##0</c:formatCode>
                <c:ptCount val="9"/>
                <c:pt idx="0">
                  <c:v>11</c:v>
                </c:pt>
                <c:pt idx="1">
                  <c:v>87</c:v>
                </c:pt>
                <c:pt idx="2">
                  <c:v>8</c:v>
                </c:pt>
                <c:pt idx="3">
                  <c:v>15</c:v>
                </c:pt>
                <c:pt idx="4">
                  <c:v>45</c:v>
                </c:pt>
                <c:pt idx="5">
                  <c:v>37</c:v>
                </c:pt>
                <c:pt idx="6">
                  <c:v>44</c:v>
                </c:pt>
                <c:pt idx="7">
                  <c:v>18</c:v>
                </c:pt>
                <c:pt idx="8">
                  <c:v>51</c:v>
                </c:pt>
              </c:numCache>
            </c:numRef>
          </c:val>
        </c:ser>
        <c:ser>
          <c:idx val="2"/>
          <c:order val="2"/>
          <c:tx>
            <c:strRef>
              <c:f>'EDOS cambios mun 2015'!$G$11</c:f>
              <c:strCache>
                <c:ptCount val="1"/>
                <c:pt idx="0">
                  <c:v>Municipios que reportaron en el 4to trimestre</c:v>
                </c:pt>
              </c:strCache>
            </c:strRef>
          </c:tx>
          <c:spPr>
            <a:solidFill>
              <a:srgbClr val="00878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'EDOS cambios mun 2015'!$A$12:$A$20</c:f>
              <c:strCache>
                <c:ptCount val="9"/>
                <c:pt idx="0">
                  <c:v>Campeche</c:v>
                </c:pt>
                <c:pt idx="1">
                  <c:v>Chiapas</c:v>
                </c:pt>
                <c:pt idx="2">
                  <c:v>Colima</c:v>
                </c:pt>
                <c:pt idx="3">
                  <c:v>Ciudad de México</c:v>
                </c:pt>
                <c:pt idx="4">
                  <c:v>Guanajuato</c:v>
                </c:pt>
                <c:pt idx="5">
                  <c:v>Jalisco</c:v>
                </c:pt>
                <c:pt idx="6">
                  <c:v>Nuevo León</c:v>
                </c:pt>
                <c:pt idx="7">
                  <c:v>Querétaro</c:v>
                </c:pt>
                <c:pt idx="8">
                  <c:v>San Luis Potosí</c:v>
                </c:pt>
              </c:strCache>
            </c:strRef>
          </c:cat>
          <c:val>
            <c:numRef>
              <c:f>'EDOS cambios mun 2015'!$G$12:$G$20</c:f>
              <c:numCache>
                <c:formatCode>#,##0</c:formatCode>
                <c:ptCount val="9"/>
                <c:pt idx="0">
                  <c:v>11</c:v>
                </c:pt>
                <c:pt idx="1">
                  <c:v>61</c:v>
                </c:pt>
                <c:pt idx="2">
                  <c:v>9</c:v>
                </c:pt>
                <c:pt idx="3">
                  <c:v>16</c:v>
                </c:pt>
                <c:pt idx="4">
                  <c:v>37</c:v>
                </c:pt>
                <c:pt idx="5">
                  <c:v>37</c:v>
                </c:pt>
                <c:pt idx="6">
                  <c:v>45</c:v>
                </c:pt>
                <c:pt idx="7">
                  <c:v>18</c:v>
                </c:pt>
                <c:pt idx="8">
                  <c:v>46</c:v>
                </c:pt>
              </c:numCache>
            </c:numRef>
          </c:val>
        </c:ser>
        <c:dLbls>
          <c:showLegendKey val="0"/>
          <c:showVal val="0"/>
          <c:showCatName val="0"/>
          <c:showSerName val="0"/>
          <c:showPercent val="0"/>
          <c:showBubbleSize val="0"/>
        </c:dLbls>
        <c:gapWidth val="219"/>
        <c:overlap val="-27"/>
        <c:axId val="249730288"/>
        <c:axId val="249730848"/>
      </c:barChart>
      <c:catAx>
        <c:axId val="24973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30848"/>
        <c:crosses val="autoZero"/>
        <c:auto val="1"/>
        <c:lblAlgn val="ctr"/>
        <c:lblOffset val="100"/>
        <c:noMultiLvlLbl val="0"/>
      </c:catAx>
      <c:valAx>
        <c:axId val="249730848"/>
        <c:scaling>
          <c:orientation val="minMax"/>
          <c:max val="13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73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41054243219598"/>
          <c:y val="7.439924176144648E-2"/>
          <c:w val="0.44717891513560809"/>
          <c:h val="0.74529819189268021"/>
        </c:manualLayout>
      </c:layout>
      <c:pieChart>
        <c:varyColors val="1"/>
        <c:ser>
          <c:idx val="0"/>
          <c:order val="0"/>
          <c:dPt>
            <c:idx val="0"/>
            <c:bubble3D val="0"/>
            <c:spPr>
              <a:solidFill>
                <a:srgbClr val="8A8D8F"/>
              </a:solidFill>
              <a:ln w="19050">
                <a:solidFill>
                  <a:schemeClr val="lt1"/>
                </a:solidFill>
              </a:ln>
              <a:effectLst/>
            </c:spPr>
          </c:dPt>
          <c:dPt>
            <c:idx val="1"/>
            <c:bubble3D val="0"/>
            <c:spPr>
              <a:solidFill>
                <a:srgbClr val="007A3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Hoja5!$C$3:$D$3</c:f>
              <c:strCache>
                <c:ptCount val="2"/>
                <c:pt idx="0">
                  <c:v>Evaluaciones no válidas para el SED</c:v>
                </c:pt>
                <c:pt idx="1">
                  <c:v>Evaluaciones válidas para el SED</c:v>
                </c:pt>
              </c:strCache>
            </c:strRef>
          </c:cat>
          <c:val>
            <c:numRef>
              <c:f>Hoja5!$C$32:$D$32</c:f>
              <c:numCache>
                <c:formatCode>General</c:formatCode>
                <c:ptCount val="2"/>
                <c:pt idx="0">
                  <c:v>114</c:v>
                </c:pt>
                <c:pt idx="1">
                  <c:v>91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0.67101</cdr:x>
      <cdr:y>1.43021E-7</cdr:y>
    </cdr:from>
    <cdr:to>
      <cdr:x>0.6721</cdr:x>
      <cdr:y>0.91817</cdr:y>
    </cdr:to>
    <cdr:cxnSp macro="">
      <cdr:nvCxnSpPr>
        <cdr:cNvPr id="2" name="Conector recto 1"/>
        <cdr:cNvCxnSpPr/>
      </cdr:nvCxnSpPr>
      <cdr:spPr>
        <a:xfrm xmlns:a="http://schemas.openxmlformats.org/drawingml/2006/main" flipH="1" flipV="1">
          <a:off x="3765793" y="1"/>
          <a:ext cx="6107" cy="6419849"/>
        </a:xfrm>
        <a:prstGeom xmlns:a="http://schemas.openxmlformats.org/drawingml/2006/main" prst="line">
          <a:avLst/>
        </a:prstGeom>
        <a:ln xmlns:a="http://schemas.openxmlformats.org/drawingml/2006/main">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0.68963</cdr:x>
      <cdr:y>0.88566</cdr:y>
    </cdr:from>
    <cdr:to>
      <cdr:x>0.82541</cdr:x>
      <cdr:y>0.95605</cdr:y>
    </cdr:to>
    <cdr:sp macro="" textlink="">
      <cdr:nvSpPr>
        <cdr:cNvPr id="4" name="Cuadro de texto 1"/>
        <cdr:cNvSpPr txBox="1"/>
      </cdr:nvSpPr>
      <cdr:spPr>
        <a:xfrm xmlns:a="http://schemas.openxmlformats.org/drawingml/2006/main">
          <a:off x="3870303" y="6192550"/>
          <a:ext cx="762015" cy="492168"/>
        </a:xfrm>
        <a:prstGeom xmlns:a="http://schemas.openxmlformats.org/drawingml/2006/main" prst="rect">
          <a:avLst/>
        </a:prstGeom>
      </cdr:spPr>
    </cdr:sp>
  </cdr:relSizeAnchor>
  <cdr:relSizeAnchor xmlns:cdr="http://schemas.openxmlformats.org/drawingml/2006/chartDrawing">
    <cdr:from>
      <cdr:x>0.67775</cdr:x>
      <cdr:y>0.83935</cdr:y>
    </cdr:from>
    <cdr:to>
      <cdr:x>0.81353</cdr:x>
      <cdr:y>0.90974</cdr:y>
    </cdr:to>
    <cdr:sp macro="" textlink="">
      <cdr:nvSpPr>
        <cdr:cNvPr id="5" name="Cuadro de texto 1"/>
        <cdr:cNvSpPr txBox="1"/>
      </cdr:nvSpPr>
      <cdr:spPr>
        <a:xfrm xmlns:a="http://schemas.openxmlformats.org/drawingml/2006/main">
          <a:off x="3803628" y="5868700"/>
          <a:ext cx="762015" cy="492168"/>
        </a:xfrm>
        <a:prstGeom xmlns:a="http://schemas.openxmlformats.org/drawingml/2006/main" prst="rect">
          <a:avLst/>
        </a:prstGeom>
      </cdr:spPr>
    </cdr:sp>
  </cdr:relSizeAnchor>
  <cdr:relSizeAnchor xmlns:cdr="http://schemas.openxmlformats.org/drawingml/2006/chartDrawing">
    <cdr:from>
      <cdr:x>0.68356</cdr:x>
      <cdr:y>0.76452</cdr:y>
    </cdr:from>
    <cdr:to>
      <cdr:x>0.86229</cdr:x>
      <cdr:y>0.85688</cdr:y>
    </cdr:to>
    <cdr:sp macro="" textlink="">
      <cdr:nvSpPr>
        <cdr:cNvPr id="6" name="Cuadro de texto 5"/>
        <cdr:cNvSpPr txBox="1"/>
      </cdr:nvSpPr>
      <cdr:spPr>
        <a:xfrm xmlns:a="http://schemas.openxmlformats.org/drawingml/2006/main">
          <a:off x="3073136" y="3968693"/>
          <a:ext cx="803539" cy="479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Promedio</a:t>
          </a:r>
        </a:p>
        <a:p xmlns:a="http://schemas.openxmlformats.org/drawingml/2006/main">
          <a:r>
            <a:rPr lang="es-MX" sz="1100"/>
            <a:t>     0.63</a:t>
          </a:r>
        </a:p>
      </cdr:txBody>
    </cdr:sp>
  </cdr:relSizeAnchor>
</c:userShapes>
</file>

<file path=word/drawings/drawing2.xml><?xml version="1.0" encoding="utf-8"?>
<c:userShapes xmlns:c="http://schemas.openxmlformats.org/drawingml/2006/chart">
  <cdr:relSizeAnchor xmlns:cdr="http://schemas.openxmlformats.org/drawingml/2006/chartDrawing">
    <cdr:from>
      <cdr:x>0.49431</cdr:x>
      <cdr:y>0.25864</cdr:y>
    </cdr:from>
    <cdr:to>
      <cdr:x>0.63415</cdr:x>
      <cdr:y>0.3361</cdr:y>
    </cdr:to>
    <cdr:sp macro="" textlink="">
      <cdr:nvSpPr>
        <cdr:cNvPr id="2" name="Cuadro de texto 1"/>
        <cdr:cNvSpPr txBox="1"/>
      </cdr:nvSpPr>
      <cdr:spPr>
        <a:xfrm xmlns:a="http://schemas.openxmlformats.org/drawingml/2006/main">
          <a:off x="2895600" y="1781175"/>
          <a:ext cx="819150" cy="533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MX" sz="1100"/>
            <a:t>Promedio:</a:t>
          </a:r>
          <a:r>
            <a:rPr lang="es-MX" sz="1100" baseline="0"/>
            <a:t> 46.1%</a:t>
          </a:r>
          <a:endParaRPr lang="es-MX" sz="1100"/>
        </a:p>
      </cdr:txBody>
    </cdr:sp>
  </cdr:relSizeAnchor>
  <cdr:relSizeAnchor xmlns:cdr="http://schemas.openxmlformats.org/drawingml/2006/chartDrawing">
    <cdr:from>
      <cdr:x>0.47642</cdr:x>
      <cdr:y>0.07542</cdr:y>
    </cdr:from>
    <cdr:to>
      <cdr:x>0.47953</cdr:x>
      <cdr:y>0.95712</cdr:y>
    </cdr:to>
    <cdr:cxnSp macro="">
      <cdr:nvCxnSpPr>
        <cdr:cNvPr id="4" name="Conector recto 3"/>
        <cdr:cNvCxnSpPr/>
      </cdr:nvCxnSpPr>
      <cdr:spPr>
        <a:xfrm xmlns:a="http://schemas.openxmlformats.org/drawingml/2006/main" flipH="1">
          <a:off x="2790828" y="519379"/>
          <a:ext cx="18208" cy="6071921"/>
        </a:xfrm>
        <a:prstGeom xmlns:a="http://schemas.openxmlformats.org/drawingml/2006/main" prst="line">
          <a:avLst/>
        </a:prstGeom>
        <a:ln xmlns:a="http://schemas.openxmlformats.org/drawingml/2006/main">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77A9-751A-4A2B-9177-FF3B033DC3B7}">
  <ds:schemaRefs>
    <ds:schemaRef ds:uri="http://schemas.openxmlformats.org/officeDocument/2006/bibliography"/>
  </ds:schemaRefs>
</ds:datastoreItem>
</file>

<file path=customXml/itemProps2.xml><?xml version="1.0" encoding="utf-8"?>
<ds:datastoreItem xmlns:ds="http://schemas.openxmlformats.org/officeDocument/2006/customXml" ds:itemID="{6B3FC557-1B6A-4508-A9E7-709D136C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6810</Words>
  <Characters>37455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francisco_eslava</dc:creator>
  <cp:keywords/>
  <dc:description/>
  <cp:lastModifiedBy>Nayeli Aguilar Pineda</cp:lastModifiedBy>
  <cp:revision>5</cp:revision>
  <cp:lastPrinted>2014-09-09T19:55:00Z</cp:lastPrinted>
  <dcterms:created xsi:type="dcterms:W3CDTF">2016-04-08T19:28:00Z</dcterms:created>
  <dcterms:modified xsi:type="dcterms:W3CDTF">2016-04-08T23:39:00Z</dcterms:modified>
</cp:coreProperties>
</file>